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4C75"/>
          <w:sz w:val="32"/>
          <w:szCs w:val="32"/>
        </w:rPr>
        <w:t xml:space="preserve">醫療大型語言模型幻覺中的</w:t>
      </w:r>
    </w:p>
    <w:p>
      <w:pPr>
        <w:spacing w:after="80"/>
        <w:jc w:val="center"/>
      </w:pPr>
      <w:r>
        <w:rPr>
          <w:rFonts w:ascii="Arial" w:cs="Arial" w:eastAsia="Arial" w:hAnsi="Arial"/>
          <w:b/>
          <w:bCs/>
          <w:color w:val="0F4C75"/>
          <w:sz w:val="32"/>
          <w:szCs w:val="32"/>
        </w:rPr>
        <w:t xml:space="preserve">交叉人口統計差異研究</w:t>
      </w:r>
    </w:p>
    <w:p>
      <w:pPr>
        <w:spacing w:after="80"/>
        <w:jc w:val="center"/>
      </w:pPr>
      <w:r>
        <w:rPr>
          <w:rFonts w:ascii="Arial" w:cs="Arial" w:eastAsia="Arial" w:hAnsi="Arial"/>
          <w:color w:val="5A6F84"/>
          <w:sz w:val="24"/>
          <w:szCs w:val="24"/>
        </w:rPr>
        <w:t xml:space="preserve">GPT-4o-mini臨床回應的兩階段研究</w:t>
      </w:r>
    </w:p>
    <w:p>
      <w:pPr>
        <w:spacing w:after="200"/>
        <w:jc w:val="center"/>
      </w:pPr>
      <w:r>
        <w:rPr>
          <w:rFonts w:ascii="Arial" w:cs="Arial" w:eastAsia="Arial" w:hAnsi="Arial"/>
          <w:color w:val="5A6F84"/>
          <w:sz w:val="22"/>
          <w:szCs w:val="22"/>
        </w:rPr>
        <w:t xml:space="preserve">Gen AI Fairness 期末報告 — 2026年5月</w:t>
      </w:r>
    </w:p>
    <w:p>
      <w:pPr>
        <w:pStyle w:val="Heading1"/>
        <w:spacing w:after="200" w:before="360"/>
      </w:pPr>
      <w:r>
        <w:rPr>
          <w:b/>
          <w:bCs/>
        </w:rPr>
        <w:t xml:space="preserve">摘要</w:t>
      </w:r>
    </w:p>
    <w:p>
      <w:pPr>
        <w:spacing w:after="120"/>
      </w:pPr>
      <w:r>
        <w:rPr>
          <w:rFonts w:ascii="Arial" w:cs="Arial" w:eastAsia="Arial" w:hAnsi="Arial"/>
          <w:sz w:val="24"/>
          <w:szCs w:val="24"/>
        </w:rPr>
        <w:t xml:space="preserve">Large language models (LLMs) are increasingly used in clinical decision support, yet the intersection of demographic bias and hallucination remains underexplored. This study examines whether GPT-4o-mini exhibits demographic disparities in hallucination frequency and type when responding to clinical vignettes. We conducted a two-phase study: Phase 1 (pilot, n=80) used 20 vignettes with 4 demographic perturbations, while Phase 2 (full study, n=600) expanded to 50 vignettes with 3 repetitions per condition. Responses were evaluated by GPT-4o using a hallucination taxonomy adapted from MedHalu. Phase 1 suggested an intersectional gradient favoring White men (0%) over Black women (10%). However, Phase 2 revealed a different pattern: a gender-based disparity where men hallucinated 2–3x more than women (Black man 10.0%, White man 8.0%, Black woman 4.0%, White woman 3.3%). Sensitive clinical questions amplified disparities dramatically, with Black men reaching 16.7% versus 3.3% for White women. The divergence between phases demonstrates the stochastic nature of LLM hallucinations and highlights that small-sample bias audits can produce unstable conclusions. These findings confirm that hallucination in medical LLMs is systematically patterned by patient demographics, while underscoring the need for large-scale replication in fairness research.</w:t>
      </w:r>
    </w:p>
    <w:p>
      <w:pPr>
        <w:pStyle w:val="Heading1"/>
        <w:spacing w:after="200" w:before="360"/>
      </w:pPr>
      <w:r>
        <w:rPr>
          <w:b/>
          <w:bCs/>
        </w:rPr>
        <w:t xml:space="preserve">1. 緒論</w:t>
      </w:r>
    </w:p>
    <w:p>
      <w:pPr>
        <w:spacing w:after="120"/>
      </w:pPr>
      <w:r>
        <w:rPr>
          <w:rFonts w:ascii="Arial" w:cs="Arial" w:eastAsia="Arial" w:hAnsi="Arial"/>
          <w:sz w:val="24"/>
          <w:szCs w:val="24"/>
        </w:rPr>
        <w:t xml:space="preserve">The deployment of large language models in healthcare has accelerated rapidly, with models like GPT-4, Med-PaLM, and Claude being evaluated for clinical decision support, patient communication, and medical education (Topol, 2019; Singhal et al., 2023). Two critical concerns have emerged in parallel but largely independent research streams.</w:t>
      </w:r>
    </w:p>
    <w:p>
      <w:pPr>
        <w:spacing w:after="120"/>
      </w:pPr>
      <w:r>
        <w:rPr>
          <w:rFonts w:ascii="Arial" w:cs="Arial" w:eastAsia="Arial" w:hAnsi="Arial"/>
          <w:sz w:val="24"/>
          <w:szCs w:val="24"/>
        </w:rPr>
        <w:t xml:space="preserve">The first investigates demographic bias in medical AI. Studies have demonstrated that LLMs answer clinical questions differently depending on the patient's stated race, gender, or ethnicity (Rawat et al., 2024; Pfohl et al., 2024; Omar et al., 2025). These studies measure accuracy gaps but do not examine the nature of errors themselves.</w:t>
      </w:r>
    </w:p>
    <w:p>
      <w:pPr>
        <w:spacing w:after="120"/>
      </w:pPr>
      <w:r>
        <w:rPr>
          <w:rFonts w:ascii="Arial" w:cs="Arial" w:eastAsia="Arial" w:hAnsi="Arial"/>
          <w:sz w:val="24"/>
          <w:szCs w:val="24"/>
        </w:rPr>
        <w:t xml:space="preserve">The second focuses on hallucination—the generation of content that appears plausible but is factually incorrect, logically flawed, or unsupported by evidence (Huang et al., 2023). Taxonomies such as MedHalu (Agarwal et al., 2024) classify medical hallucinations into factual, reasoning, and evidence subtypes, but have not tested whether hallucination rates differ across demographics.</w:t>
      </w:r>
    </w:p>
    <w:p>
      <w:pPr>
        <w:spacing w:after="120"/>
      </w:pPr>
      <w:r>
        <w:rPr>
          <w:rFonts w:ascii="Arial" w:cs="Arial" w:eastAsia="Arial" w:hAnsi="Arial"/>
          <w:sz w:val="24"/>
          <w:szCs w:val="24"/>
        </w:rPr>
        <w:t xml:space="preserve">This study addresses the gap at the intersection: </w:t>
      </w:r>
      <w:r>
        <w:rPr>
          <w:rFonts w:ascii="Arial" w:cs="Arial" w:eastAsia="Arial" w:hAnsi="Arial"/>
          <w:b/>
          <w:bCs/>
          <w:sz w:val="24"/>
          <w:szCs w:val="24"/>
        </w:rPr>
        <w:t xml:space="preserve">do medical LLMs hallucinate more frequently—or differently—for patients of different demographic backgrounds?</w:t>
      </w:r>
      <w:r>
        <w:rPr>
          <w:rFonts w:ascii="Arial" w:cs="Arial" w:eastAsia="Arial" w:hAnsi="Arial"/>
          <w:sz w:val="24"/>
          <w:szCs w:val="24"/>
        </w:rPr>
        <w:t xml:space="preserve"> We conducted a two-phase study to answer this question, first with a pilot (n=80) and then a scaled replication (n=600).</w:t>
      </w:r>
    </w:p>
    <w:p>
      <w:pPr>
        <w:pStyle w:val="Heading1"/>
        <w:spacing w:after="200" w:before="360"/>
      </w:pPr>
      <w:r>
        <w:rPr>
          <w:b/>
          <w:bCs/>
        </w:rPr>
        <w:t xml:space="preserve">2. 背景與文獻回顧</w:t>
      </w:r>
    </w:p>
    <w:p>
      <w:pPr>
        <w:pStyle w:val="Heading2"/>
        <w:spacing w:after="160" w:before="280"/>
      </w:pPr>
      <w:r>
        <w:rPr>
          <w:b/>
          <w:bCs/>
        </w:rPr>
        <w:t xml:space="preserve">2.1 醫療LLM中的幻覺</w:t>
      </w:r>
    </w:p>
    <w:p>
      <w:pPr>
        <w:spacing w:after="120"/>
      </w:pPr>
      <w:r>
        <w:rPr>
          <w:rFonts w:ascii="Arial" w:cs="Arial" w:eastAsia="Arial" w:hAnsi="Arial"/>
          <w:sz w:val="24"/>
          <w:szCs w:val="24"/>
        </w:rPr>
        <w:t xml:space="preserve">Agarwal et al. (2024) introduced MedHalu, classifying medical hallucinations into three categories: factual (contradicts established medical knowledge), reasoning (logical errors in diagnosis or treatment), and evidence (fabricated citations or statistics). Kim et al. (2025) examined the broader impact of medical hallucinations in foundation models on healthcare delivery.</w:t>
      </w:r>
    </w:p>
    <w:p>
      <w:pPr>
        <w:pStyle w:val="Heading2"/>
        <w:spacing w:after="160" w:before="280"/>
      </w:pPr>
      <w:r>
        <w:rPr>
          <w:b/>
          <w:bCs/>
        </w:rPr>
        <w:t xml:space="preserve">2.2 醫療LLM中的人口統計偏見</w:t>
      </w:r>
    </w:p>
    <w:p>
      <w:pPr>
        <w:spacing w:after="120"/>
      </w:pPr>
      <w:r>
        <w:rPr>
          <w:rFonts w:ascii="Arial" w:cs="Arial" w:eastAsia="Arial" w:hAnsi="Arial"/>
          <w:sz w:val="24"/>
          <w:szCs w:val="24"/>
        </w:rPr>
        <w:t xml:space="preserve">Rawat et al. (2024) introduced DiversityMedQA, injecting demographic information into clinical questions to assess bias. Pfohl et al. (2024) developed EquityMedQA, a toolbox for surfacing health equity harms using counterfactual evaluation. Omar et al. (2025) found systematic differences in psychiatric diagnosis and treatment recommendations based on patient race.</w:t>
      </w:r>
    </w:p>
    <w:p>
      <w:pPr>
        <w:pStyle w:val="Heading2"/>
        <w:spacing w:after="160" w:before="280"/>
      </w:pPr>
      <w:r>
        <w:rPr>
          <w:b/>
          <w:bCs/>
        </w:rPr>
        <w:t xml:space="preserve">2.3 研究空白</w:t>
      </w:r>
    </w:p>
    <w:p>
      <w:pPr>
        <w:spacing w:after="120"/>
      </w:pPr>
      <w:r>
        <w:rPr>
          <w:rFonts w:ascii="Arial" w:cs="Arial" w:eastAsia="Arial" w:hAnsi="Arial"/>
          <w:sz w:val="24"/>
          <w:szCs w:val="24"/>
        </w:rPr>
        <w:t xml:space="preserve">Bias research measures whether the answer changes; hallucination research measures what kind of error occurs. No study has examined whether hallucination rates and types differ systematically across demographic groups. Our study bridges this gap by applying hallucination taxonomy to demographically-perturbed clinical vignettes within a counterfactual evaluation framework.</w:t>
      </w:r>
    </w:p>
    <w:p>
      <w:pPr>
        <w:pStyle w:val="Heading1"/>
        <w:spacing w:after="200" w:before="360"/>
      </w:pPr>
      <w:r>
        <w:rPr>
          <w:b/>
          <w:bCs/>
        </w:rPr>
        <w:t xml:space="preserve">3. 研究方法</w:t>
      </w:r>
    </w:p>
    <w:p>
      <w:pPr>
        <w:pStyle w:val="Heading2"/>
        <w:spacing w:after="160" w:before="280"/>
      </w:pPr>
      <w:r>
        <w:rPr>
          <w:b/>
          <w:bCs/>
        </w:rPr>
        <w:t xml:space="preserve">3.1 研究設計</w:t>
      </w:r>
    </w:p>
    <w:p>
      <w:pPr>
        <w:spacing w:after="120"/>
      </w:pPr>
      <w:r>
        <w:rPr>
          <w:rFonts w:ascii="Arial" w:cs="Arial" w:eastAsia="Arial" w:hAnsi="Arial"/>
          <w:sz w:val="24"/>
          <w:szCs w:val="24"/>
        </w:rPr>
        <w:t xml:space="preserve">We designed a two-phase experimental pipeline. Phase 1 served as a pilot study; Phase 2 served as the full-scale replication. Both phases used identical methodology: (1) vignette construction, (2) demographic perturbation, (3) response generation, and (4) hallucination evaluation.</w:t>
      </w:r>
    </w:p>
    <w:p>
      <w:pPr>
        <w:pStyle w:val="Heading2"/>
        <w:spacing w:after="160" w:before="280"/>
      </w:pPr>
      <w:r>
        <w:rPr>
          <w:b/>
          <w:bCs/>
        </w:rPr>
        <w:t xml:space="preserve">3.2 臨床情境設計</w:t>
      </w:r>
    </w:p>
    <w:p>
      <w:pPr>
        <w:spacing w:after="120"/>
      </w:pPr>
      <w:r>
        <w:rPr>
          <w:rFonts w:ascii="Arial" w:cs="Arial" w:eastAsia="Arial" w:hAnsi="Arial"/>
          <w:sz w:val="24"/>
          <w:szCs w:val="24"/>
        </w:rPr>
        <w:t xml:space="preserve">We authored clinical vignettes covering a range of medical conditions, split into two sets based on instructor feedback regarding the confounding effect of clinically-relevant demographic information:</w:t>
      </w:r>
    </w:p>
    <w:p>
      <w:pPr>
        <w:spacing w:after="120"/>
      </w:pPr>
      <w:r>
        <w:rPr>
          <w:rFonts w:ascii="Arial" w:cs="Arial" w:eastAsia="Arial" w:hAnsi="Arial"/>
          <w:b/>
          <w:bCs/>
          <w:sz w:val="24"/>
          <w:szCs w:val="24"/>
        </w:rPr>
        <w:t xml:space="preserve">Neutral set: </w:t>
      </w:r>
      <w:r>
        <w:rPr>
          <w:rFonts w:ascii="Arial" w:cs="Arial" w:eastAsia="Arial" w:hAnsi="Arial"/>
          <w:sz w:val="24"/>
          <w:szCs w:val="24"/>
        </w:rPr>
        <w:t xml:space="preserve">Conditions where the medically correct answer is the same regardless of patient demographics (e.g., otitis media, pneumothorax, appendicitis, gout). Any disparity on these questions constitutes a pure bias signal.</w:t>
      </w:r>
    </w:p>
    <w:p>
      <w:pPr>
        <w:spacing w:after="120"/>
      </w:pPr>
      <w:r>
        <w:rPr>
          <w:rFonts w:ascii="Arial" w:cs="Arial" w:eastAsia="Arial" w:hAnsi="Arial"/>
          <w:b/>
          <w:bCs/>
          <w:sz w:val="24"/>
          <w:szCs w:val="24"/>
        </w:rPr>
        <w:t xml:space="preserve">Sensitive set: </w:t>
      </w:r>
      <w:r>
        <w:rPr>
          <w:rFonts w:ascii="Arial" w:cs="Arial" w:eastAsia="Arial" w:hAnsi="Arial"/>
          <w:sz w:val="24"/>
          <w:szCs w:val="24"/>
        </w:rPr>
        <w:t xml:space="preserve">Conditions where demographics legitimately affect clinical reasoning (e.g., sickle cell disease, preeclampsia, prostate cancer screening). Disparities here may reflect appropriate clinical considerations.</w:t>
      </w:r>
    </w:p>
    <w:p>
      <w:pPr>
        <w:spacing w:after="120"/>
      </w:pPr>
      <w:r>
        <w:rPr>
          <w:rFonts w:ascii="Arial" w:cs="Arial" w:eastAsia="Arial" w:hAnsi="Arial"/>
          <w:sz w:val="24"/>
          <w:szCs w:val="24"/>
        </w:rPr>
        <w:t xml:space="preserve">Phase 1 used 20 vignettes (12 neutral, 8 sensitive). Phase 2 expanded to 50 vignettes (30 neutral, 20 sensitive).</w:t>
      </w:r>
    </w:p>
    <w:p>
      <w:pPr>
        <w:pStyle w:val="Heading2"/>
        <w:spacing w:after="160" w:before="280"/>
      </w:pPr>
      <w:r>
        <w:rPr>
          <w:b/>
          <w:bCs/>
        </w:rPr>
        <w:t xml:space="preserve">3.3 人口統計擾動</w:t>
      </w:r>
    </w:p>
    <w:p>
      <w:pPr>
        <w:spacing w:after="120"/>
      </w:pPr>
      <w:r>
        <w:rPr>
          <w:rFonts w:ascii="Arial" w:cs="Arial" w:eastAsia="Arial" w:hAnsi="Arial"/>
          <w:sz w:val="24"/>
          <w:szCs w:val="24"/>
        </w:rPr>
        <w:t xml:space="preserve">Following Rawat et al. (2024), we inserted demographic descriptors into each vignette using a 2×2 factorial design crossing race (Black, White) with gender (woman, man), yielding 4 conditions per vignette.</w:t>
      </w:r>
    </w:p>
    <w:p>
      <w:pPr>
        <w:pStyle w:val="Heading2"/>
        <w:spacing w:after="160" w:before="280"/>
      </w:pPr>
      <w:r>
        <w:rPr>
          <w:b/>
          <w:bCs/>
        </w:rPr>
        <w:t xml:space="preserve">3.4 回應生成</w:t>
      </w:r>
    </w:p>
    <w:p>
      <w:pPr>
        <w:spacing w:after="120"/>
      </w:pPr>
      <w:r>
        <w:rPr>
          <w:rFonts w:ascii="Arial" w:cs="Arial" w:eastAsia="Arial" w:hAnsi="Arial"/>
          <w:sz w:val="24"/>
          <w:szCs w:val="24"/>
        </w:rPr>
        <w:t xml:space="preserve">All prompts were submitted to GPT-4o-mini (OpenAI) with temperature=0.7. Phase 1 ran each prompt once (20×4=80 responses). Phase 2 ran each prompt three times (50×4×3=600 responses) to assess output variability.</w:t>
      </w:r>
    </w:p>
    <w:p>
      <w:pPr>
        <w:pStyle w:val="Heading2"/>
        <w:spacing w:after="160" w:before="280"/>
      </w:pPr>
      <w:r>
        <w:rPr>
          <w:b/>
          <w:bCs/>
        </w:rPr>
        <w:t xml:space="preserve">3.5 幻覺評估</w:t>
      </w:r>
    </w:p>
    <w:p>
      <w:pPr>
        <w:spacing w:after="120"/>
      </w:pPr>
      <w:r>
        <w:rPr>
          <w:rFonts w:ascii="Arial" w:cs="Arial" w:eastAsia="Arial" w:hAnsi="Arial"/>
          <w:sz w:val="24"/>
          <w:szCs w:val="24"/>
        </w:rPr>
        <w:t xml:space="preserve">Responses were evaluated by GPT-4o serving as an automated judge. We used a different model family to avoid self-evaluation bias (Zheng et al., 2023). The judge produced binary ratings (0/1) for factual, reasoning, and evidence hallucination, plus an overall hallucination flag and free-text notes.</w:t>
      </w:r>
    </w:p>
    <w:p>
      <w:pPr>
        <w:pStyle w:val="Heading1"/>
        <w:spacing w:after="200" w:before="360"/>
      </w:pPr>
      <w:r>
        <w:rPr>
          <w:b/>
          <w:bCs/>
        </w:rPr>
        <w:t xml:space="preserve">4. 研究結果</w:t>
      </w:r>
    </w:p>
    <w:p>
      <w:pPr>
        <w:pStyle w:val="Heading2"/>
        <w:spacing w:after="160" w:before="280"/>
      </w:pPr>
      <w:r>
        <w:rPr>
          <w:b/>
          <w:bCs/>
        </w:rPr>
        <w:t xml:space="preserve">4.1 第一階段：先驅研究（n=80）</w:t>
      </w:r>
    </w:p>
    <w:p>
      <w:pPr>
        <w:spacing w:after="120"/>
      </w:pPr>
      <w:r>
        <w:rPr>
          <w:rFonts w:ascii="Arial" w:cs="Arial" w:eastAsia="Arial" w:hAnsi="Arial"/>
          <w:sz w:val="24"/>
          <w:szCs w:val="24"/>
        </w:rPr>
        <w:t xml:space="preserve">The pilot study suggested an intersectional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Demographic</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n</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Hallucinations</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Rate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10.0%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5.0%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20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0.0%</w:t>
            </w:r>
          </w:p>
        </w:tc>
      </w:tr>
    </w:tbl>
    <w:p>
      <w:pPr>
        <w:spacing w:after="120"/>
        <w:rPr>
          <w:color w:val="5A6F84"/>
          <w:sz w:val="20"/>
          <w:szCs w:val="20"/>
        </w:rPr>
      </w:pPr>
      <w:r>
        <w:rPr>
          <w:rFonts w:ascii="Arial" w:cs="Arial" w:eastAsia="Arial" w:hAnsi="Arial"/>
          <w:color w:val="5A6F84"/>
          <w:sz w:val="20"/>
          <w:szCs w:val="20"/>
        </w:rPr>
        <w:t xml:space="preserve">Table 1. Phase 1 hallucination rates.</w:t>
      </w:r>
    </w:p>
    <w:p>
      <w:pPr>
        <w:spacing w:after="120"/>
      </w:pPr>
      <w:r>
        <w:rPr>
          <w:rFonts w:ascii="Arial" w:cs="Arial" w:eastAsia="Arial" w:hAnsi="Arial"/>
          <w:sz w:val="24"/>
          <w:szCs w:val="24"/>
        </w:rPr>
        <w:t xml:space="preserve">This ordering (Black woman &gt; Black man = White woman &gt; White man) appeared consistent with intersectionality theory (Crenshaw, 1989). On neutral questions, only Black women showed hallucinations (8.3% vs. 0% for all other groups).</w:t>
      </w:r>
    </w:p>
    <w:p>
      <w:pPr>
        <w:pStyle w:val="Heading2"/>
        <w:spacing w:after="160" w:before="280"/>
      </w:pPr>
      <w:r>
        <w:rPr>
          <w:b/>
          <w:bCs/>
        </w:rPr>
        <w:t xml:space="preserve">4.2 第二階段：完整研究（n=600）</w:t>
      </w:r>
    </w:p>
    <w:p>
      <w:pPr>
        <w:spacing w:after="120"/>
      </w:pPr>
      <w:r>
        <w:rPr>
          <w:rFonts w:ascii="Arial" w:cs="Arial" w:eastAsia="Arial" w:hAnsi="Arial"/>
          <w:sz w:val="24"/>
          <w:szCs w:val="24"/>
        </w:rPr>
        <w:t xml:space="preserve">The expanded study revealed a markedly different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Demographic</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n</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Hallucinations</w:t>
            </w:r>
          </w:p>
        </w:tc>
        <w:tc>
          <w:tcPr>
            <w:tcW w:type="dxa" w:w="2340"/>
            <w:tcBorders>
              <w:top w:val="single" w:color="BBBBBB" w:sz="1"/>
              <w:left w:val="single" w:color="BBBBBB" w:sz="1"/>
              <w:bottom w:val="single" w:color="BBBBBB" w:sz="1"/>
              <w:right w:val="single" w:color="BBBBBB" w:sz="1"/>
            </w:tcBorders>
            <w:shd w:fill="E8F0F8" w:val="clear"/>
            <w:tcMar>
              <w:top w:type="dxa" w:w="60"/>
              <w:left w:type="dxa" w:w="100"/>
              <w:bottom w:type="dxa" w:w="60"/>
              <w:right w:type="dxa" w:w="100"/>
            </w:tcMar>
          </w:tcPr>
          <w:p>
            <w:r>
              <w:rPr>
                <w:rFonts w:ascii="Arial" w:cs="Arial" w:eastAsia="Arial" w:hAnsi="Arial"/>
                <w:b/>
                <w:bCs/>
                <w:sz w:val="22"/>
                <w:szCs w:val="22"/>
              </w:rPr>
              <w:t xml:space="preserve">Rate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10.0%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8.0%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Black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4.0%</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White woman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150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2"/>
                <w:szCs w:val="22"/>
              </w:rPr>
              <w:t xml:space="preserve">3.3%</w:t>
            </w:r>
          </w:p>
        </w:tc>
      </w:tr>
    </w:tbl>
    <w:p>
      <w:pPr>
        <w:spacing w:after="120"/>
        <w:rPr>
          <w:color w:val="5A6F84"/>
          <w:sz w:val="20"/>
          <w:szCs w:val="20"/>
        </w:rPr>
      </w:pPr>
      <w:r>
        <w:rPr>
          <w:rFonts w:ascii="Arial" w:cs="Arial" w:eastAsia="Arial" w:hAnsi="Arial"/>
          <w:color w:val="5A6F84"/>
          <w:sz w:val="20"/>
          <w:szCs w:val="20"/>
        </w:rPr>
        <w:t xml:space="preserve">Table 2. Phase 2 hallucination rates.</w:t>
      </w:r>
    </w:p>
    <w:p>
      <w:pPr>
        <w:spacing w:after="120"/>
      </w:pPr>
      <w:r>
        <w:rPr>
          <w:rFonts w:ascii="Arial" w:cs="Arial" w:eastAsia="Arial" w:hAnsi="Arial"/>
          <w:sz w:val="24"/>
          <w:szCs w:val="24"/>
        </w:rPr>
        <w:t xml:space="preserve">The dominant axis of disparity shifted from race×gender intersectionality to </w:t>
      </w:r>
      <w:r>
        <w:rPr>
          <w:rFonts w:ascii="Arial" w:cs="Arial" w:eastAsia="Arial" w:hAnsi="Arial"/>
          <w:b/>
          <w:bCs/>
          <w:sz w:val="24"/>
          <w:szCs w:val="24"/>
        </w:rPr>
        <w:t xml:space="preserve">gender</w:t>
      </w:r>
      <w:r>
        <w:rPr>
          <w:rFonts w:ascii="Arial" w:cs="Arial" w:eastAsia="Arial" w:hAnsi="Arial"/>
          <w:sz w:val="24"/>
          <w:szCs w:val="24"/>
        </w:rPr>
        <w:t xml:space="preserve">: men hallucinated 2–3x more than women across both racial groups. Black men experienced the highest rate (10.0%), followed by White men (8.0%), Black women (4.0%), and White women (3.3%).</w:t>
      </w:r>
    </w:p>
    <w:p>
      <w:pPr>
        <w:pStyle w:val="Heading2"/>
        <w:spacing w:after="160" w:before="280"/>
      </w:pPr>
      <w:r>
        <w:rPr>
          <w:b/>
          <w:bCs/>
        </w:rPr>
        <w:t xml:space="preserve">4.3 中性組與敏感組比較</w:t>
      </w:r>
    </w:p>
    <w:p>
      <w:pPr>
        <w:spacing w:after="120"/>
      </w:pPr>
      <w:r>
        <w:rPr>
          <w:rFonts w:ascii="Arial" w:cs="Arial" w:eastAsia="Arial" w:hAnsi="Arial"/>
          <w:sz w:val="24"/>
          <w:szCs w:val="24"/>
        </w:rPr>
        <w:t xml:space="preserve">On neutral questions, all demographic groups showed relatively low and similar hallucination rates (2.2–5.6%), with no single group dramatically elevated. On sensitive questions, disparities widened substantially: Black men reached 16.7%, White men 13.3%, Black women 6.7%, and White women 3.3%—a 5x gap between the highest and lowest groups.</w:t>
      </w:r>
    </w:p>
    <w:p>
      <w:pPr>
        <w:spacing w:after="120"/>
      </w:pPr>
      <w:r>
        <w:rPr>
          <w:rFonts w:ascii="Arial" w:cs="Arial" w:eastAsia="Arial" w:hAnsi="Arial"/>
          <w:sz w:val="24"/>
          <w:szCs w:val="24"/>
        </w:rPr>
        <w:t xml:space="preserve">This suggests that when clinical questions involve demographically-relevant conditions, </w:t>
      </w:r>
      <w:r>
        <w:rPr>
          <w:rFonts w:ascii="Arial" w:cs="Arial" w:eastAsia="Arial" w:hAnsi="Arial"/>
          <w:b/>
          <w:bCs/>
          <w:sz w:val="24"/>
          <w:szCs w:val="24"/>
        </w:rPr>
        <w:t xml:space="preserve">the model’s hallucination behavior becomes systematically skewed toward male patients.</w:t>
      </w:r>
    </w:p>
    <w:p>
      <w:pPr>
        <w:pStyle w:val="Heading2"/>
        <w:spacing w:after="160" w:before="280"/>
      </w:pPr>
      <w:r>
        <w:rPr>
          <w:b/>
          <w:bCs/>
        </w:rPr>
        <w:t xml:space="preserve">4.4 幻覺類型分析</w:t>
      </w:r>
    </w:p>
    <w:p>
      <w:pPr>
        <w:spacing w:after="120"/>
      </w:pPr>
      <w:r>
        <w:rPr>
          <w:rFonts w:ascii="Arial" w:cs="Arial" w:eastAsia="Arial" w:hAnsi="Arial"/>
          <w:sz w:val="24"/>
          <w:szCs w:val="24"/>
        </w:rPr>
        <w:t xml:space="preserve">Reasoning hallucinations were the most common type across all groups, with Black men showing the highest reasoning hallucination rate (7.3% overall, 4.4% on neutral questions alone). Factual hallucinations were most prevalent for White men (6.7%). Evidence hallucinations were rare across all groups (≤1%).</w:t>
      </w:r>
    </w:p>
    <w:p>
      <w:pPr>
        <w:pStyle w:val="Heading1"/>
        <w:spacing w:after="200" w:before="360"/>
      </w:pPr>
      <w:r>
        <w:rPr>
          <w:b/>
          <w:bCs/>
        </w:rPr>
        <w:t xml:space="preserve">5. 討論</w:t>
      </w:r>
    </w:p>
    <w:p>
      <w:pPr>
        <w:pStyle w:val="Heading2"/>
        <w:spacing w:after="160" w:before="280"/>
      </w:pPr>
      <w:r>
        <w:rPr>
          <w:b/>
          <w:bCs/>
        </w:rPr>
        <w:t xml:space="preserve">5.1 性別差異</w:t>
      </w:r>
    </w:p>
    <w:p>
      <w:pPr>
        <w:spacing w:after="120"/>
      </w:pPr>
      <w:r>
        <w:rPr>
          <w:rFonts w:ascii="Arial" w:cs="Arial" w:eastAsia="Arial" w:hAnsi="Arial"/>
          <w:sz w:val="24"/>
          <w:szCs w:val="24"/>
        </w:rPr>
        <w:t xml:space="preserve">The most robust finding from Phase 2 is that gender, rather than race, is the dominant axis of hallucination disparity. Men experienced 2–3x higher rates than women. This may reflect the model over-associating clinical risk factors with male patients, particularly for conditions traditionally studied in male-dominated populations (e.g., coronary artery disease, certain cancers).</w:t>
      </w:r>
    </w:p>
    <w:p>
      <w:pPr>
        <w:pStyle w:val="Heading2"/>
        <w:spacing w:after="160" w:before="280"/>
      </w:pPr>
      <w:r>
        <w:rPr>
          <w:b/>
          <w:bCs/>
        </w:rPr>
        <w:t xml:space="preserve">5.2 小樣本發現的不穩定性</w:t>
      </w:r>
    </w:p>
    <w:p>
      <w:pPr>
        <w:spacing w:after="120"/>
      </w:pPr>
      <w:r>
        <w:rPr>
          <w:rFonts w:ascii="Arial" w:cs="Arial" w:eastAsia="Arial" w:hAnsi="Arial"/>
          <w:sz w:val="24"/>
          <w:szCs w:val="24"/>
        </w:rPr>
        <w:t xml:space="preserve">Perhaps the most methodologically significant finding is the divergence between Phase 1 and Phase 2. The pilot study (n=80) suggested a clean intersectional gradient that was not replicated at scale (n=600). This has important implications for the field: many existing bias audit studies rely on relatively small sample sizes. Our results demonstrate that LLM hallucinations are stochastic—the same prompt can produce different outputs across runs—and that small-sample audits can yield misleading conclusions about demographic patterns.</w:t>
      </w:r>
    </w:p>
    <w:p>
      <w:pPr>
        <w:pStyle w:val="Heading2"/>
        <w:spacing w:after="160" w:before="280"/>
      </w:pPr>
      <w:r>
        <w:rPr>
          <w:b/>
          <w:bCs/>
        </w:rPr>
        <w:t xml:space="preserve">5.3 敏感問題的放大效應</w:t>
      </w:r>
    </w:p>
    <w:p>
      <w:pPr>
        <w:spacing w:after="120"/>
      </w:pPr>
      <w:r>
        <w:rPr>
          <w:rFonts w:ascii="Arial" w:cs="Arial" w:eastAsia="Arial" w:hAnsi="Arial"/>
          <w:sz w:val="24"/>
          <w:szCs w:val="24"/>
        </w:rPr>
        <w:t xml:space="preserve">The finding that sensitive questions amplify demographic disparities is consistent with the hypothesis that demographic information serves as a “trigger” for the model to engage different reasoning pathways. When demographics are clinically irrelevant (neutral set), the model treats all groups relatively equally. When demographics are clinically meaningful (sensitive set), the model appears to over-weight demographic factors for male patients, leading to higher hallucination rates.</w:t>
      </w:r>
    </w:p>
    <w:p>
      <w:pPr>
        <w:pStyle w:val="Heading2"/>
        <w:spacing w:after="160" w:before="280"/>
      </w:pPr>
      <w:r>
        <w:rPr>
          <w:b/>
          <w:bCs/>
        </w:rPr>
        <w:t xml:space="preserve">5.4 意涵</w:t>
      </w:r>
    </w:p>
    <w:p>
      <w:pPr>
        <w:spacing w:after="120"/>
      </w:pPr>
      <w:r>
        <w:rPr>
          <w:rFonts w:ascii="Arial" w:cs="Arial" w:eastAsia="Arial" w:hAnsi="Arial"/>
          <w:sz w:val="24"/>
          <w:szCs w:val="24"/>
        </w:rPr>
        <w:t xml:space="preserve">These findings suggest that bias audits for medical LLMs should: (1) use sufficiently large samples with multiple repetitions, (2) distinguish between neutral and sensitive clinical contexts, and (3) examine the distribution of error types rather than accuracy alone.</w:t>
      </w:r>
    </w:p>
    <w:p>
      <w:pPr>
        <w:pStyle w:val="Heading1"/>
        <w:spacing w:after="200" w:before="360"/>
      </w:pPr>
      <w:r>
        <w:rPr>
          <w:b/>
          <w:bCs/>
        </w:rPr>
        <w:t xml:space="preserve">6. 限制與未來工作</w:t>
      </w:r>
    </w:p>
    <w:p>
      <w:pPr>
        <w:spacing w:after="120"/>
      </w:pPr>
      <w:r>
        <w:rPr>
          <w:rFonts w:ascii="Arial" w:cs="Arial" w:eastAsia="Arial" w:hAnsi="Arial"/>
          <w:b/>
          <w:bCs/>
          <w:sz w:val="24"/>
          <w:szCs w:val="24"/>
        </w:rPr>
        <w:t xml:space="preserve">Single subject model. </w:t>
      </w:r>
      <w:r>
        <w:rPr>
          <w:rFonts w:ascii="Arial" w:cs="Arial" w:eastAsia="Arial" w:hAnsi="Arial"/>
          <w:sz w:val="24"/>
          <w:szCs w:val="24"/>
        </w:rPr>
        <w:t xml:space="preserve">We tested only GPT-4o-mini. Future work should replicate across multiple models (Med-PaLM, Claude, Gemini, open-weight models).</w:t>
      </w:r>
    </w:p>
    <w:p>
      <w:pPr>
        <w:spacing w:after="120"/>
      </w:pPr>
      <w:r>
        <w:rPr>
          <w:rFonts w:ascii="Arial" w:cs="Arial" w:eastAsia="Arial" w:hAnsi="Arial"/>
          <w:b/>
          <w:bCs/>
          <w:sz w:val="24"/>
          <w:szCs w:val="24"/>
        </w:rPr>
        <w:t xml:space="preserve">LLM-as-judge. </w:t>
      </w:r>
      <w:r>
        <w:rPr>
          <w:rFonts w:ascii="Arial" w:cs="Arial" w:eastAsia="Arial" w:hAnsi="Arial"/>
          <w:sz w:val="24"/>
          <w:szCs w:val="24"/>
        </w:rPr>
        <w:t xml:space="preserve">We used GPT-4o as an automated judge. The gold standard would be physician review. Future studies should incorporate clinician validation.</w:t>
      </w:r>
    </w:p>
    <w:p>
      <w:pPr>
        <w:spacing w:after="120"/>
      </w:pPr>
      <w:r>
        <w:rPr>
          <w:rFonts w:ascii="Arial" w:cs="Arial" w:eastAsia="Arial" w:hAnsi="Arial"/>
          <w:b/>
          <w:bCs/>
          <w:sz w:val="24"/>
          <w:szCs w:val="24"/>
        </w:rPr>
        <w:t xml:space="preserve">Demographic scope. </w:t>
      </w:r>
      <w:r>
        <w:rPr>
          <w:rFonts w:ascii="Arial" w:cs="Arial" w:eastAsia="Arial" w:hAnsi="Arial"/>
          <w:sz w:val="24"/>
          <w:szCs w:val="24"/>
        </w:rPr>
        <w:t xml:space="preserve">We examined only binary race (Black/White) and gender (woman/man). Future work should extend to additional demographics (Omar et al., 2025).</w:t>
      </w:r>
    </w:p>
    <w:p>
      <w:pPr>
        <w:spacing w:after="120"/>
      </w:pPr>
      <w:r>
        <w:rPr>
          <w:rFonts w:ascii="Arial" w:cs="Arial" w:eastAsia="Arial" w:hAnsi="Arial"/>
          <w:b/>
          <w:bCs/>
          <w:sz w:val="24"/>
          <w:szCs w:val="24"/>
        </w:rPr>
        <w:t xml:space="preserve">Stochastic outputs. </w:t>
      </w:r>
      <w:r>
        <w:rPr>
          <w:rFonts w:ascii="Arial" w:cs="Arial" w:eastAsia="Arial" w:hAnsi="Arial"/>
          <w:sz w:val="24"/>
          <w:szCs w:val="24"/>
        </w:rPr>
        <w:t xml:space="preserve">Even with n=600 and 3 repetitions, patterns may not be fully stable. Larger replications (n&gt;2000) are needed to confirm the gender-based disparity finding.</w:t>
      </w:r>
    </w:p>
    <w:p>
      <w:pPr>
        <w:pStyle w:val="Heading1"/>
        <w:spacing w:after="200" w:before="360"/>
      </w:pPr>
      <w:r>
        <w:rPr>
          <w:b/>
          <w:bCs/>
        </w:rPr>
        <w:t xml:space="preserve">7. 結論</w:t>
      </w:r>
    </w:p>
    <w:p>
      <w:pPr>
        <w:spacing w:after="120"/>
      </w:pPr>
      <w:r>
        <w:rPr>
          <w:rFonts w:ascii="Arial" w:cs="Arial" w:eastAsia="Arial" w:hAnsi="Arial"/>
          <w:sz w:val="24"/>
          <w:szCs w:val="24"/>
        </w:rPr>
        <w:t xml:space="preserve">This two-phase study provides evidence that hallucination in medical LLMs is systematically patterned by patient demographics. Our scaled replication (n=600) revealed a gender-based disparity where men experienced 2–3x higher hallucination rates than women, with sensitive clinical questions amplifying the gap to 5x. Critically, the divergence between our pilot and full study demonstrates that small-sample bias audits can produce unstable conclusions—a methodological insight with broad relevance to the field. We call for health-equity research in AI to adopt larger sample sizes, distinguish neutral from sensitive clinical contexts, and examine the demographic distribution of error types in clinical AI systems.</w:t>
      </w:r>
    </w:p>
    <w:p>
      <w:pPr>
        <w:pStyle w:val="Heading1"/>
        <w:spacing w:after="200" w:before="360"/>
      </w:pPr>
      <w:r>
        <w:rPr>
          <w:b/>
          <w:bCs/>
        </w:rPr>
        <w:t xml:space="preserve">參考文獻</w:t>
      </w:r>
    </w:p>
    <w:p>
      <w:pPr>
        <w:spacing w:after="120"/>
        <w:rPr>
          <w:sz w:val="20"/>
          <w:szCs w:val="20"/>
        </w:rPr>
      </w:pPr>
      <w:r>
        <w:rPr>
          <w:rFonts w:ascii="Arial" w:cs="Arial" w:eastAsia="Arial" w:hAnsi="Arial"/>
          <w:sz w:val="20"/>
          <w:szCs w:val="20"/>
        </w:rPr>
        <w:t xml:space="preserve">Agarwal, V. et al. (2024). MedHalu: Hallucinations in responses to healthcare queries by large language models. arXiv:2409.19492.</w:t>
      </w:r>
    </w:p>
    <w:p>
      <w:pPr>
        <w:spacing w:after="120"/>
        <w:rPr>
          <w:sz w:val="20"/>
          <w:szCs w:val="20"/>
        </w:rPr>
      </w:pPr>
      <w:r>
        <w:rPr>
          <w:rFonts w:ascii="Arial" w:cs="Arial" w:eastAsia="Arial" w:hAnsi="Arial"/>
          <w:sz w:val="20"/>
          <w:szCs w:val="20"/>
        </w:rPr>
        <w:t xml:space="preserve">Crenshaw, K. (1989). Demarginalizing the intersection of race and sex. University of Chicago Legal Forum, 1989(1), 139–167.</w:t>
      </w:r>
    </w:p>
    <w:p>
      <w:pPr>
        <w:spacing w:after="120"/>
        <w:rPr>
          <w:sz w:val="20"/>
          <w:szCs w:val="20"/>
        </w:rPr>
      </w:pPr>
      <w:r>
        <w:rPr>
          <w:rFonts w:ascii="Arial" w:cs="Arial" w:eastAsia="Arial" w:hAnsi="Arial"/>
          <w:sz w:val="20"/>
          <w:szCs w:val="20"/>
        </w:rPr>
        <w:t xml:space="preserve">Huang, L. et al. (2023). A survey on hallucination in large language models. arXiv:2311.05232.</w:t>
      </w:r>
    </w:p>
    <w:p>
      <w:pPr>
        <w:spacing w:after="120"/>
        <w:rPr>
          <w:sz w:val="20"/>
          <w:szCs w:val="20"/>
        </w:rPr>
      </w:pPr>
      <w:r>
        <w:rPr>
          <w:rFonts w:ascii="Arial" w:cs="Arial" w:eastAsia="Arial" w:hAnsi="Arial"/>
          <w:sz w:val="20"/>
          <w:szCs w:val="20"/>
        </w:rPr>
        <w:t xml:space="preserve">Kim, S. et al. (2025). Medical hallucination in foundation models and their impact on healthcare. arXiv:2503.05777v2.</w:t>
      </w:r>
    </w:p>
    <w:p>
      <w:pPr>
        <w:spacing w:after="120"/>
        <w:rPr>
          <w:sz w:val="20"/>
          <w:szCs w:val="20"/>
        </w:rPr>
      </w:pPr>
      <w:r>
        <w:rPr>
          <w:rFonts w:ascii="Arial" w:cs="Arial" w:eastAsia="Arial" w:hAnsi="Arial"/>
          <w:sz w:val="20"/>
          <w:szCs w:val="20"/>
        </w:rPr>
        <w:t xml:space="preserve">Omar, M. et al. (2025). Racial bias in AI-mediated psychiatric diagnosis and treatment. npj Digital Medicine, 8, 332.</w:t>
      </w:r>
    </w:p>
    <w:p>
      <w:pPr>
        <w:spacing w:after="120"/>
        <w:rPr>
          <w:sz w:val="20"/>
          <w:szCs w:val="20"/>
        </w:rPr>
      </w:pPr>
      <w:r>
        <w:rPr>
          <w:rFonts w:ascii="Arial" w:cs="Arial" w:eastAsia="Arial" w:hAnsi="Arial"/>
          <w:sz w:val="20"/>
          <w:szCs w:val="20"/>
        </w:rPr>
        <w:t xml:space="preserve">Pfohl, S. et al. (2024). A toolbox for surfacing health equity harms and biases in LLMs. Google Research.</w:t>
      </w:r>
    </w:p>
    <w:p>
      <w:pPr>
        <w:spacing w:after="120"/>
        <w:rPr>
          <w:sz w:val="20"/>
          <w:szCs w:val="20"/>
        </w:rPr>
      </w:pPr>
      <w:r>
        <w:rPr>
          <w:rFonts w:ascii="Arial" w:cs="Arial" w:eastAsia="Arial" w:hAnsi="Arial"/>
          <w:sz w:val="20"/>
          <w:szCs w:val="20"/>
        </w:rPr>
        <w:t xml:space="preserve">Rawat, R. et al. (2024). DiversityMedQA: Assessing demographic biases in medical diagnosis using LLMs. NLP4PI @ EMNLP 2024, 334–348.</w:t>
      </w:r>
    </w:p>
    <w:p>
      <w:pPr>
        <w:spacing w:after="120"/>
        <w:rPr>
          <w:sz w:val="20"/>
          <w:szCs w:val="20"/>
        </w:rPr>
      </w:pPr>
      <w:r>
        <w:rPr>
          <w:rFonts w:ascii="Arial" w:cs="Arial" w:eastAsia="Arial" w:hAnsi="Arial"/>
          <w:sz w:val="20"/>
          <w:szCs w:val="20"/>
        </w:rPr>
        <w:t xml:space="preserve">Singhal, K. et al. (2023). Towards expert-level medical question answering with LLMs. arXiv:2305.09617.</w:t>
      </w:r>
    </w:p>
    <w:p>
      <w:pPr>
        <w:spacing w:after="120"/>
        <w:rPr>
          <w:sz w:val="20"/>
          <w:szCs w:val="20"/>
        </w:rPr>
      </w:pPr>
      <w:r>
        <w:rPr>
          <w:rFonts w:ascii="Arial" w:cs="Arial" w:eastAsia="Arial" w:hAnsi="Arial"/>
          <w:sz w:val="20"/>
          <w:szCs w:val="20"/>
        </w:rPr>
        <w:t xml:space="preserve">Topol, E. J. (2019). High-performance medicine. Nature Medicine, 25(1), 44–56.</w:t>
      </w:r>
    </w:p>
    <w:p>
      <w:pPr>
        <w:spacing w:after="120"/>
        <w:rPr>
          <w:sz w:val="20"/>
          <w:szCs w:val="20"/>
        </w:rPr>
      </w:pPr>
      <w:r>
        <w:rPr>
          <w:rFonts w:ascii="Arial" w:cs="Arial" w:eastAsia="Arial" w:hAnsi="Arial"/>
          <w:sz w:val="20"/>
          <w:szCs w:val="20"/>
        </w:rPr>
        <w:t xml:space="preserve">Zheng, L. et al. (2023). Judging LLM-as-a-judge with MT-bench and Chatbot Arena. NeurIPS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0F4C75"/>
      <w:sz w:val="30"/>
      <w:szCs w:val="30"/>
    </w:rPr>
  </w:style>
  <w:style w:type="paragraph" w:styleId="Heading2">
    <w:name w:val="Heading 2"/>
    <w:basedOn w:val="Normal"/>
    <w:next w:val="Normal"/>
    <w:qFormat/>
    <w:pPr>
      <w:spacing w:after="160" w:before="280"/>
    </w:pPr>
    <w:rPr>
      <w:rFonts w:ascii="Arial" w:cs="Arial" w:eastAsia="Arial" w:hAnsi="Arial"/>
      <w:b/>
      <w:bCs/>
      <w:color w:val="3282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2026-05-03T04:30:27.300Z</dcterms:created>
  <dcterms:modified xsi:type="dcterms:W3CDTF">2026-05-03T04:30:27.300Z</dcterms:modified>
</cp:coreProperties>
</file>

<file path=docProps/custom.xml><?xml version="1.0" encoding="utf-8"?>
<Properties xmlns="http://schemas.openxmlformats.org/officeDocument/2006/custom-properties" xmlns:vt="http://schemas.openxmlformats.org/officeDocument/2006/docPropsVTypes"/>
</file>