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72"/>
          <w:szCs w:val="72"/>
        </w:rPr>
      </w:pPr>
      <w:bookmarkStart w:id="8" w:name="_GoBack"/>
      <w:bookmarkEnd w:id="8"/>
      <w:r>
        <w:rPr>
          <w:rFonts w:hint="eastAsia" w:ascii="宋体" w:hAnsi="宋体"/>
          <w:b/>
          <w:sz w:val="72"/>
          <w:szCs w:val="72"/>
        </w:rPr>
        <w:t>国际化技术解决方案</w:t>
      </w:r>
    </w:p>
    <w:p>
      <w:pPr>
        <w:widowControl/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22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953"/>
        <w:gridCol w:w="202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41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53" w:type="dxa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制作人</w:t>
            </w:r>
          </w:p>
        </w:tc>
        <w:tc>
          <w:tcPr>
            <w:tcW w:w="311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41" w:type="dxa"/>
          </w:tcPr>
          <w:p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1953" w:type="dxa"/>
          </w:tcPr>
          <w:p>
            <w:pPr>
              <w:jc w:val="center"/>
            </w:pPr>
            <w:r>
              <w:t>2020/2/6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朱耀明</w:t>
            </w:r>
          </w:p>
        </w:tc>
        <w:tc>
          <w:tcPr>
            <w:tcW w:w="31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41" w:type="dxa"/>
          </w:tcPr>
          <w:p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1953" w:type="dxa"/>
          </w:tcPr>
          <w:p>
            <w:pPr>
              <w:jc w:val="center"/>
            </w:pPr>
            <w:r>
              <w:t>2020/2/11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朱耀明</w:t>
            </w:r>
          </w:p>
        </w:tc>
        <w:tc>
          <w:tcPr>
            <w:tcW w:w="3117" w:type="dxa"/>
          </w:tcPr>
          <w:p>
            <w:pPr>
              <w:jc w:val="center"/>
            </w:pPr>
            <w:r>
              <w:rPr>
                <w:rFonts w:hint="eastAsia"/>
              </w:rPr>
              <w:t>根据讨论完善了方案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1.0.2</w:t>
            </w:r>
          </w:p>
        </w:tc>
        <w:tc>
          <w:tcPr>
            <w:tcW w:w="1953" w:type="dxa"/>
          </w:tcPr>
          <w:p>
            <w:pPr>
              <w:jc w:val="center"/>
              <w:rPr>
                <w:rFonts w:hint="eastAsia"/>
              </w:rPr>
            </w:pPr>
            <w:r>
              <w:t>2020/2/19</w:t>
            </w:r>
          </w:p>
        </w:tc>
        <w:tc>
          <w:tcPr>
            <w:tcW w:w="202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朱耀明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补充业务集成</w:t>
            </w:r>
          </w:p>
        </w:tc>
      </w:tr>
    </w:tbl>
    <w:p>
      <w:pPr>
        <w:jc w:val="left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left"/>
      </w:pPr>
      <w:r>
        <w:br w:type="page"/>
      </w:r>
    </w:p>
    <w:p>
      <w:pPr>
        <w:widowControl/>
        <w:jc w:val="center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76520516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</w:rPr>
          </w:pPr>
          <w:r>
            <w:rPr>
              <w:b w:val="0"/>
              <w:bCs w:val="0"/>
              <w:sz w:val="22"/>
              <w:szCs w:val="22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  <w:sz w:val="22"/>
              <w:szCs w:val="22"/>
            </w:rPr>
            <w:fldChar w:fldCharType="separate"/>
          </w:r>
          <w:r>
            <w:fldChar w:fldCharType="begin"/>
          </w:r>
          <w:r>
            <w:instrText xml:space="preserve"> HYPERLINK \l "_Toc31894932" </w:instrText>
          </w:r>
          <w:r>
            <w:fldChar w:fldCharType="separate"/>
          </w:r>
          <w:r>
            <w:rPr>
              <w:rStyle w:val="24"/>
            </w:rPr>
            <w:t>1.</w:t>
          </w:r>
          <w:r>
            <w:rPr>
              <w:rFonts w:eastAsiaTheme="minorEastAsia"/>
              <w:b w:val="0"/>
              <w:bCs w:val="0"/>
            </w:rPr>
            <w:tab/>
          </w:r>
          <w:r>
            <w:rPr>
              <w:rStyle w:val="24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_Toc31894932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HYPERLINK \l "_Toc31894933" </w:instrText>
          </w:r>
          <w:r>
            <w:fldChar w:fldCharType="separate"/>
          </w:r>
          <w:r>
            <w:rPr>
              <w:rStyle w:val="24"/>
            </w:rPr>
            <w:t>2.</w:t>
          </w:r>
          <w:r>
            <w:rPr>
              <w:rFonts w:eastAsiaTheme="minorEastAsia"/>
              <w:b w:val="0"/>
              <w:bCs w:val="0"/>
            </w:rPr>
            <w:tab/>
          </w:r>
          <w:r>
            <w:rPr>
              <w:rStyle w:val="24"/>
            </w:rPr>
            <w:t>国际化目标</w:t>
          </w:r>
          <w:r>
            <w:tab/>
          </w:r>
          <w:r>
            <w:fldChar w:fldCharType="begin"/>
          </w:r>
          <w:r>
            <w:instrText xml:space="preserve"> PAGEREF _Toc31894933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HYPERLINK \l "_Toc31894934" </w:instrText>
          </w:r>
          <w:r>
            <w:fldChar w:fldCharType="separate"/>
          </w:r>
          <w:r>
            <w:rPr>
              <w:rStyle w:val="24"/>
            </w:rPr>
            <w:t>3.</w:t>
          </w:r>
          <w:r>
            <w:rPr>
              <w:rFonts w:eastAsiaTheme="minorEastAsia"/>
              <w:b w:val="0"/>
              <w:bCs w:val="0"/>
            </w:rPr>
            <w:tab/>
          </w:r>
          <w:r>
            <w:rPr>
              <w:rStyle w:val="24"/>
            </w:rPr>
            <w:t>国际化实现方案</w:t>
          </w:r>
          <w:r>
            <w:tab/>
          </w:r>
          <w:r>
            <w:fldChar w:fldCharType="begin"/>
          </w:r>
          <w:r>
            <w:instrText xml:space="preserve"> PAGEREF _Toc31894934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"_Toc31894935" </w:instrText>
          </w:r>
          <w:r>
            <w:fldChar w:fldCharType="separate"/>
          </w:r>
          <w:r>
            <w:rPr>
              <w:rStyle w:val="24"/>
            </w:rPr>
            <w:t>3.1.</w:t>
          </w:r>
          <w:r>
            <w:rPr>
              <w:rFonts w:eastAsiaTheme="minorEastAsia"/>
              <w:b w:val="0"/>
              <w:bCs w:val="0"/>
              <w:sz w:val="24"/>
              <w:szCs w:val="24"/>
            </w:rPr>
            <w:tab/>
          </w:r>
          <w:r>
            <w:rPr>
              <w:rStyle w:val="24"/>
            </w:rPr>
            <w:t>前端方案</w:t>
          </w:r>
          <w:r>
            <w:tab/>
          </w:r>
          <w:r>
            <w:fldChar w:fldCharType="begin"/>
          </w:r>
          <w:r>
            <w:instrText xml:space="preserve"> PAGEREF _Toc31894935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960"/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"_Toc31894936" </w:instrText>
          </w:r>
          <w:r>
            <w:fldChar w:fldCharType="separate"/>
          </w:r>
          <w:r>
            <w:rPr>
              <w:rStyle w:val="24"/>
            </w:rPr>
            <w:t>3.2.</w:t>
          </w:r>
          <w:r>
            <w:rPr>
              <w:rFonts w:eastAsiaTheme="minorEastAsia"/>
              <w:b w:val="0"/>
              <w:bCs w:val="0"/>
              <w:sz w:val="24"/>
              <w:szCs w:val="24"/>
            </w:rPr>
            <w:tab/>
          </w:r>
          <w:r>
            <w:rPr>
              <w:rStyle w:val="24"/>
            </w:rPr>
            <w:t>后端方案</w:t>
          </w:r>
          <w:r>
            <w:tab/>
          </w:r>
          <w:r>
            <w:fldChar w:fldCharType="begin"/>
          </w:r>
          <w:r>
            <w:instrText xml:space="preserve"> PAGEREF _Toc31894936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440"/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"_Toc31894937" </w:instrText>
          </w:r>
          <w:r>
            <w:fldChar w:fldCharType="separate"/>
          </w:r>
          <w:r>
            <w:rPr>
              <w:rStyle w:val="24"/>
            </w:rPr>
            <w:t>3.2.1.</w:t>
          </w:r>
          <w:r>
            <w:rPr>
              <w:rFonts w:eastAsiaTheme="minorEastAsia"/>
              <w:sz w:val="24"/>
              <w:szCs w:val="24"/>
            </w:rPr>
            <w:tab/>
          </w:r>
          <w:r>
            <w:rPr>
              <w:rStyle w:val="24"/>
            </w:rPr>
            <w:t>方案一(本地资源文件)</w:t>
          </w:r>
          <w:r>
            <w:tab/>
          </w:r>
          <w:r>
            <w:fldChar w:fldCharType="begin"/>
          </w:r>
          <w:r>
            <w:instrText xml:space="preserve"> PAGEREF _Toc31894937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440"/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"_Toc31894938" </w:instrText>
          </w:r>
          <w:r>
            <w:fldChar w:fldCharType="separate"/>
          </w:r>
          <w:r>
            <w:rPr>
              <w:rStyle w:val="24"/>
            </w:rPr>
            <w:t>3.2.2.</w:t>
          </w:r>
          <w:r>
            <w:rPr>
              <w:rFonts w:eastAsiaTheme="minorEastAsia"/>
              <w:sz w:val="24"/>
              <w:szCs w:val="24"/>
            </w:rPr>
            <w:tab/>
          </w:r>
          <w:r>
            <w:rPr>
              <w:rStyle w:val="24"/>
            </w:rPr>
            <w:t>方案二(数据库读取MessageResource)(建议方案)</w:t>
          </w:r>
          <w:r>
            <w:tab/>
          </w:r>
          <w:r>
            <w:fldChar w:fldCharType="begin"/>
          </w:r>
          <w:r>
            <w:instrText xml:space="preserve"> PAGEREF _Toc31894938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HYPERLINK \l "_Toc31894939" </w:instrText>
          </w:r>
          <w:r>
            <w:fldChar w:fldCharType="separate"/>
          </w:r>
          <w:r>
            <w:rPr>
              <w:rStyle w:val="24"/>
            </w:rPr>
            <w:t>4.</w:t>
          </w:r>
          <w:r>
            <w:rPr>
              <w:rFonts w:eastAsiaTheme="minorEastAsia"/>
              <w:b w:val="0"/>
              <w:bCs w:val="0"/>
            </w:rPr>
            <w:tab/>
          </w:r>
          <w:r>
            <w:rPr>
              <w:rStyle w:val="24"/>
            </w:rPr>
            <w:t>业务集成</w:t>
          </w:r>
          <w:r>
            <w:tab/>
          </w:r>
          <w:r>
            <w:fldChar w:fldCharType="begin"/>
          </w:r>
          <w:r>
            <w:instrText xml:space="preserve"> PAGEREF _Toc31894939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"_Toc31894940" </w:instrText>
          </w:r>
          <w:r>
            <w:fldChar w:fldCharType="separate"/>
          </w:r>
          <w:r>
            <w:rPr>
              <w:rStyle w:val="24"/>
              <w:rFonts w:ascii="宋体" w:hAnsi="宋体" w:eastAsia="宋体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_Toc31894940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rPr>
          <w:sz w:val="48"/>
          <w:szCs w:val="48"/>
        </w:rPr>
      </w:pPr>
      <w:bookmarkStart w:id="0" w:name="_Toc31894932"/>
      <w:r>
        <w:rPr>
          <w:rFonts w:hint="eastAsia"/>
          <w:sz w:val="48"/>
          <w:szCs w:val="48"/>
        </w:rPr>
        <w:t>前言</w:t>
      </w:r>
      <w:bookmarkEnd w:id="0"/>
    </w:p>
    <w:p>
      <w:pPr>
        <w:ind w:firstLine="420"/>
      </w:pPr>
      <w:r>
        <w:t>国际化是指应用程序运行时，可根据客户端OS的国家/地区、语言的不同而显示不同的界面，</w:t>
      </w:r>
      <w:r>
        <w:rPr>
          <w:rFonts w:hint="eastAsia"/>
        </w:rPr>
        <w:t>用户也可以手动选择不同语言切换.</w:t>
      </w:r>
      <w:r>
        <w:t>国际化的英文单词是Internationalization，单词较长，通常简称I18N</w:t>
      </w:r>
      <w:r>
        <w:rPr>
          <w:rFonts w:hint="eastAsia"/>
        </w:rPr>
        <w:t>.</w:t>
      </w:r>
    </w:p>
    <w:p>
      <w:pPr>
        <w:pStyle w:val="2"/>
        <w:numPr>
          <w:ilvl w:val="0"/>
          <w:numId w:val="1"/>
        </w:numPr>
        <w:rPr>
          <w:sz w:val="48"/>
          <w:szCs w:val="48"/>
        </w:rPr>
      </w:pPr>
      <w:bookmarkStart w:id="1" w:name="_Toc31894934"/>
      <w:r>
        <w:rPr>
          <w:rFonts w:hint="eastAsia"/>
          <w:sz w:val="48"/>
          <w:szCs w:val="48"/>
        </w:rPr>
        <w:t>国际化实现方案</w:t>
      </w:r>
      <w:bookmarkEnd w:id="1"/>
    </w:p>
    <w:p>
      <w:pPr>
        <w:pStyle w:val="3"/>
        <w:numPr>
          <w:ilvl w:val="1"/>
          <w:numId w:val="1"/>
        </w:numPr>
      </w:pPr>
      <w:bookmarkStart w:id="2" w:name="_Toc31894935"/>
      <w:r>
        <w:rPr>
          <w:rFonts w:hint="eastAsia"/>
        </w:rPr>
        <w:t>前端方案</w:t>
      </w:r>
      <w:bookmarkEnd w:id="2"/>
    </w:p>
    <w:p>
      <w:pPr>
        <w:ind w:firstLine="420"/>
      </w:pPr>
      <w:r>
        <w:rPr>
          <w:rFonts w:hint="eastAsia"/>
        </w:rPr>
        <w:t>现在前端框架几乎都支持国际化,使用框架国际化处理即可,与后台交互需要将语种在http协议header中植入.方便后台同步实现国际化值返回前端.</w:t>
      </w:r>
    </w:p>
    <w:p>
      <w:pPr>
        <w:pStyle w:val="4"/>
      </w:pPr>
      <w:r>
        <w:rPr>
          <w:rFonts w:hint="eastAsia"/>
        </w:rPr>
        <w:t>React</w:t>
      </w:r>
    </w:p>
    <w:p>
      <w:pPr>
        <w:widowControl/>
        <w:jc w:val="left"/>
        <w:rPr>
          <w:rFonts w:eastAsia="Times New Roman"/>
          <w:kern w:val="0"/>
        </w:rPr>
      </w:pPr>
      <w:r>
        <w:t>React Intl 用于国际化 React 组件</w:t>
      </w:r>
      <w:r>
        <w:rPr>
          <w:rFonts w:hint="eastAsia"/>
        </w:rPr>
        <w:t>.前端自定义多语言,并提供用户语言切换, 参考</w:t>
      </w:r>
      <w:r>
        <w:fldChar w:fldCharType="begin"/>
      </w:r>
      <w:r>
        <w:instrText xml:space="preserve"> HYPERLINK "https://www.jianshu.com/p/574f6cea4f26" </w:instrText>
      </w:r>
      <w:r>
        <w:fldChar w:fldCharType="separate"/>
      </w:r>
      <w:r>
        <w:rPr>
          <w:rStyle w:val="24"/>
          <w:rFonts w:eastAsia="Times New Roman"/>
        </w:rPr>
        <w:t>https://www.jianshu.com/p/574f6cea4f26</w:t>
      </w:r>
      <w:r>
        <w:rPr>
          <w:rStyle w:val="24"/>
          <w:rFonts w:eastAsia="Times New Roman"/>
        </w:rPr>
        <w:fldChar w:fldCharType="end"/>
      </w:r>
    </w:p>
    <w:p>
      <w:pPr>
        <w:pStyle w:val="4"/>
      </w:pPr>
      <w:r>
        <w:rPr>
          <w:rFonts w:hint="eastAsia"/>
        </w:rPr>
        <w:t>Vue</w:t>
      </w:r>
    </w:p>
    <w:p>
      <w:pPr>
        <w:widowControl/>
        <w:ind w:firstLine="420"/>
        <w:jc w:val="left"/>
        <w:rPr>
          <w:rFonts w:eastAsia="Times New Roman"/>
          <w:kern w:val="0"/>
        </w:rPr>
      </w:pPr>
      <w:r>
        <w:rPr>
          <w:rFonts w:hint="eastAsia"/>
        </w:rPr>
        <w:t>Vue国际化可以参考</w:t>
      </w:r>
      <w:r>
        <w:fldChar w:fldCharType="begin"/>
      </w:r>
      <w:r>
        <w:instrText xml:space="preserve"> HYPERLINK "https://www.jianshu.com/p/8e1b4632c0a8" </w:instrText>
      </w:r>
      <w:r>
        <w:fldChar w:fldCharType="separate"/>
      </w:r>
      <w:r>
        <w:rPr>
          <w:rStyle w:val="24"/>
          <w:rFonts w:eastAsia="Times New Roman"/>
        </w:rPr>
        <w:t>https://www.jianshu.com/p/8e1b4632c0a8</w:t>
      </w:r>
      <w:r>
        <w:rPr>
          <w:rStyle w:val="24"/>
          <w:rFonts w:eastAsia="Times New Roman"/>
        </w:rPr>
        <w:fldChar w:fldCharType="end"/>
      </w:r>
    </w:p>
    <w:p>
      <w:pPr>
        <w:pStyle w:val="3"/>
        <w:numPr>
          <w:ilvl w:val="1"/>
          <w:numId w:val="1"/>
        </w:numPr>
      </w:pPr>
      <w:bookmarkStart w:id="3" w:name="_Toc31894936"/>
      <w:r>
        <w:rPr>
          <w:rFonts w:hint="eastAsia"/>
        </w:rPr>
        <w:t>后端方案</w:t>
      </w:r>
      <w:bookmarkEnd w:id="3"/>
    </w:p>
    <w:p>
      <w:pPr>
        <w:pStyle w:val="4"/>
        <w:numPr>
          <w:ilvl w:val="2"/>
          <w:numId w:val="1"/>
        </w:numPr>
        <w:ind w:leftChars="0"/>
      </w:pPr>
      <w:bookmarkStart w:id="4" w:name="_Toc31894937"/>
      <w:r>
        <w:rPr>
          <w:rFonts w:hint="eastAsia"/>
        </w:rPr>
        <w:t>方案一(本地资源文件)</w:t>
      </w:r>
      <w:bookmarkEnd w:id="4"/>
    </w:p>
    <w:p>
      <w:r>
        <w:t>定义相应的</w:t>
      </w:r>
      <w:r>
        <w:rPr>
          <w:rFonts w:hint="eastAsia"/>
        </w:rPr>
        <w:t>i18n</w:t>
      </w:r>
      <w:r>
        <w:t>资源文件 ，我们将资源文件放在一个资源包（就是平常的一个包）中 ，一个资源包中每个资源文件必须拥有共同的基名 。除了基名 ，每个文件的名称中还必须有标识其本地信息的附加部分 ，例如 ：一个资源包的基名是 “ message ” ，则与中文（中国）、英文（美国）环境相对应的资源文件名分别为 ：</w:t>
      </w:r>
    </w:p>
    <w:p>
      <w:pPr>
        <w:ind w:left="240" w:leftChars="100"/>
      </w:pPr>
      <w:r>
        <w:t>message_zh_CN.properties</w:t>
      </w:r>
      <w:r>
        <w:rPr>
          <w:rFonts w:hint="eastAsia"/>
        </w:rPr>
        <w:t xml:space="preserve"> (中国,中文)</w:t>
      </w:r>
    </w:p>
    <w:p>
      <w:pPr>
        <w:ind w:left="240" w:leftChars="100"/>
      </w:pPr>
      <w:r>
        <w:t>message_en_US.propertie</w:t>
      </w:r>
      <w:r>
        <w:rPr>
          <w:rFonts w:hint="eastAsia"/>
        </w:rPr>
        <w:t xml:space="preserve">  (美国,英文)</w:t>
      </w:r>
    </w:p>
    <w:p>
      <w:pPr>
        <w:ind w:left="240" w:leftChars="100"/>
      </w:pPr>
      <w:r>
        <w:t>message_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ID</w:t>
      </w:r>
      <w:r>
        <w:t>.properties</w:t>
      </w:r>
      <w:r>
        <w:rPr>
          <w:rFonts w:hint="eastAsia"/>
        </w:rPr>
        <w:t xml:space="preserve">  (印尼,印尼文)</w:t>
      </w:r>
    </w:p>
    <w:p>
      <w:r>
        <w:t>并且资源文件中采用的是 properties 格式文件 ，所以文件中的所有字符都必须是 ascll 码,不能保存为中文的</w:t>
      </w:r>
      <w:r>
        <w:rPr>
          <w:rFonts w:hint="eastAsia"/>
        </w:rPr>
        <w:t>.</w:t>
      </w:r>
    </w:p>
    <w:p>
      <w:pPr>
        <w:widowControl/>
        <w:jc w:val="left"/>
      </w:pPr>
      <w:r>
        <w:rPr>
          <w:rFonts w:hint="eastAsia"/>
        </w:rPr>
        <w:t>核心思路根据</w:t>
      </w:r>
      <w:r>
        <w:rPr>
          <w:rFonts w:hint="eastAsia"/>
          <w:highlight w:val="yellow"/>
        </w:rPr>
        <w:t>ResourceBundle加载指定Locale对应的资源文件</w:t>
      </w:r>
      <w:r>
        <w:t>,再取得该资源文件中指定key对应的消息</w:t>
      </w:r>
    </w:p>
    <w:p>
      <w:pPr>
        <w:pStyle w:val="4"/>
        <w:numPr>
          <w:ilvl w:val="2"/>
          <w:numId w:val="1"/>
        </w:numPr>
        <w:ind w:leftChars="0"/>
      </w:pPr>
      <w:bookmarkStart w:id="5" w:name="_Toc31894938"/>
      <w:r>
        <w:rPr>
          <w:rFonts w:hint="eastAsia"/>
        </w:rPr>
        <w:t>方案二(数据库读取MessageResource)(建议方案)</w:t>
      </w:r>
      <w:bookmarkEnd w:id="5"/>
    </w:p>
    <w:p>
      <w:r>
        <w:rPr>
          <w:rFonts w:hint="eastAsia"/>
        </w:rPr>
        <w:t>从数据库中读取MessageResource,将动态内容通过数据字段和语言进行字典匹配,根据前端传入的language进行拦截并做转化为适应的国际化资源.</w:t>
      </w:r>
    </w:p>
    <w:p>
      <w:r>
        <w:drawing>
          <wp:inline distT="0" distB="0" distL="0" distR="0">
            <wp:extent cx="3429000" cy="88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这种方案①通过</w:t>
      </w:r>
      <w:r>
        <w:rPr>
          <w:rFonts w:hint="eastAsia"/>
          <w:b/>
          <w:highlight w:val="yellow"/>
        </w:rPr>
        <w:t>自定义注解,对需要国际化的字段进行注解</w:t>
      </w:r>
      <w:r>
        <w:rPr>
          <w:rFonts w:hint="eastAsia"/>
          <w:b/>
        </w:rPr>
        <w:t>,返回国际化后值</w:t>
      </w:r>
      <w:r>
        <w:rPr>
          <w:rFonts w:hint="eastAsia"/>
        </w:rPr>
        <w:t>. ② 语言需要传递到各微服务,链路很长的服务,如果需要底层做国际化,需要传递到底层微服务进行国际化处理.</w:t>
      </w:r>
    </w:p>
    <w:p>
      <w:pPr>
        <w:widowControl/>
        <w:jc w:val="left"/>
      </w:pPr>
      <w:r>
        <w:rPr>
          <w:rFonts w:hint="eastAsia"/>
        </w:rPr>
        <w:t>从数据库读取messageSource可以将properties文件的管理界面化，数据化。</w:t>
      </w:r>
    </w:p>
    <w:p>
      <w:pPr>
        <w:widowControl/>
        <w:jc w:val="left"/>
      </w:pPr>
    </w:p>
    <w:p>
      <w:pPr>
        <w:ind w:firstLine="420"/>
      </w:pPr>
      <w:r>
        <w:rPr>
          <w:rFonts w:hint="eastAsia"/>
        </w:rPr>
        <w:t>后端字段值国际化主要是针对</w:t>
      </w:r>
      <w:r>
        <w:rPr>
          <w:rFonts w:hint="eastAsia"/>
          <w:b/>
          <w:highlight w:val="yellow"/>
        </w:rPr>
        <w:t>范围内</w:t>
      </w:r>
      <w:r>
        <w:rPr>
          <w:rFonts w:hint="eastAsia"/>
        </w:rPr>
        <w:t>的字段进行编码转化.用户手写值无法通过国际化进行转化,通过翻译软件接口存在错误风险.而且一些翻译软件是收费的.</w:t>
      </w:r>
    </w:p>
    <w:p>
      <w:pPr>
        <w:widowControl/>
        <w:jc w:val="left"/>
      </w:pPr>
      <w:r>
        <w:drawing>
          <wp:inline distT="0" distB="0" distL="0" distR="0">
            <wp:extent cx="5270500" cy="391414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场景汇总</w:t>
      </w:r>
    </w:p>
    <w:p>
      <w:pPr>
        <w:pStyle w:val="4"/>
      </w:pPr>
      <w:r>
        <w:rPr>
          <w:rFonts w:hint="eastAsia"/>
        </w:rPr>
        <w:t>代码转值场景</w:t>
      </w:r>
    </w:p>
    <w:p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code-&gt;value(默认语种)-&gt; Value(语种1)-&gt;Value(语种2)-&gt; Value(语种3)-&gt;Value(语种4)</w:t>
      </w:r>
    </w:p>
    <w:p>
      <w:pPr>
        <w:pStyle w:val="4"/>
      </w:pPr>
      <w:r>
        <w:rPr>
          <w:rFonts w:hint="eastAsia"/>
        </w:rPr>
        <w:t>输入框描述展示</w:t>
      </w:r>
    </w:p>
    <w:p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value(默认语种)-&gt; Value(语种1)-&gt;Value(语种2)-&gt; Value(语种3)-&gt;Value(语种4)</w:t>
      </w:r>
    </w:p>
    <w:p>
      <w:pPr>
        <w:pStyle w:val="4"/>
      </w:pPr>
      <w:r>
        <w:rPr>
          <w:rFonts w:hint="eastAsia"/>
        </w:rPr>
        <w:t>固定值展示(温馨提示,错误提示,警告提示)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value(默认语种)-&gt; Value(语种1)-&gt;Value(语种2)-&gt; Value(语种3)-&gt;Value(语种4)</w:t>
      </w:r>
    </w:p>
    <w:p>
      <w:pPr>
        <w:pStyle w:val="4"/>
      </w:pPr>
      <w:r>
        <w:rPr>
          <w:rFonts w:hint="eastAsia"/>
        </w:rPr>
        <w:t>输入框(用户手写)</w:t>
      </w:r>
    </w:p>
    <w:p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sz w:val="18"/>
          <w:szCs w:val="18"/>
        </w:rPr>
        <w:t>这种情况系统后台不可知语种类型,国际化比较困难</w:t>
      </w:r>
    </w:p>
    <w:p>
      <w:pPr>
        <w:pStyle w:val="3"/>
      </w:pPr>
      <w:r>
        <w:rPr>
          <w:rFonts w:hint="eastAsia"/>
        </w:rPr>
        <w:t>语种链路传递</w:t>
      </w:r>
    </w:p>
    <w:p>
      <w:pPr>
        <w:ind w:firstLine="420"/>
      </w:pPr>
      <w:r>
        <w:rPr>
          <w:rFonts w:hint="eastAsia"/>
        </w:rPr>
        <w:t>国际化应该模块自身维护, 这样可以减少各模块之间依赖</w:t>
      </w:r>
      <w:r>
        <w:t>,</w:t>
      </w:r>
      <w:r>
        <w:rPr>
          <w:rFonts w:hint="eastAsia"/>
        </w:rPr>
        <w:t>各模块国际化仅仅在出口controller层进行处理.所以比较解决语种能传递到低层服务.</w:t>
      </w:r>
    </w:p>
    <w:p>
      <w:pPr>
        <w:ind w:firstLine="420"/>
      </w:pPr>
      <w:r>
        <w:rPr>
          <w:rFonts w:hint="eastAsia"/>
        </w:rPr>
        <w:t>服务之间通讯统一使用Feign进行通讯,语种要求前端在header中进行保存,通过ThreadLoacal线程保存语种,并针对Feign的Http通讯协议改造,植入language=zh.供下游服务使用.</w:t>
      </w:r>
    </w:p>
    <w:p>
      <w:pPr>
        <w:pStyle w:val="3"/>
      </w:pPr>
      <w:r>
        <w:rPr>
          <w:rFonts w:hint="eastAsia"/>
        </w:rPr>
        <w:t>返回格式标准化</w:t>
      </w:r>
    </w:p>
    <w:p>
      <w:r>
        <w:rPr>
          <w:rFonts w:hint="eastAsia"/>
        </w:rPr>
        <w:t>TXN:</w:t>
      </w:r>
    </w:p>
    <w:p>
      <w:r>
        <w:rPr>
          <w:rFonts w:hint="eastAsia"/>
        </w:rPr>
        <w:tab/>
      </w:r>
      <w:r>
        <w:t>TxnRespResult</w:t>
      </w:r>
      <w:r>
        <w:rPr>
          <w:rFonts w:hint="eastAsia"/>
        </w:rPr>
        <w:t>&lt;T&gt;</w:t>
      </w:r>
    </w:p>
    <w:p>
      <w:r>
        <w:drawing>
          <wp:inline distT="0" distB="0" distL="0" distR="0">
            <wp:extent cx="52705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API:</w:t>
      </w:r>
    </w:p>
    <w:p>
      <w:r>
        <w:rPr>
          <w:rFonts w:hint="eastAsia"/>
        </w:rPr>
        <w:tab/>
      </w:r>
      <w:r>
        <w:t>ApiResponse&lt;T&gt;</w:t>
      </w:r>
    </w:p>
    <w:p>
      <w:r>
        <w:drawing>
          <wp:inline distT="0" distB="0" distL="0" distR="0">
            <wp:extent cx="5168900" cy="12446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Task:</w:t>
      </w:r>
    </w:p>
    <w:p>
      <w:r>
        <w:rPr>
          <w:rFonts w:hint="eastAsia"/>
        </w:rPr>
        <w:tab/>
      </w:r>
      <w:r>
        <w:rPr>
          <w:rFonts w:hint="eastAsia"/>
        </w:rPr>
        <w:t>Result&lt;T&gt;</w:t>
      </w:r>
    </w:p>
    <w:p>
      <w:r>
        <w:drawing>
          <wp:inline distT="0" distB="0" distL="0" distR="0">
            <wp:extent cx="4895850" cy="13811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anyForm:</w:t>
      </w:r>
    </w:p>
    <w:p>
      <w:r>
        <w:rPr>
          <w:rFonts w:hint="eastAsia"/>
        </w:rPr>
        <w:tab/>
      </w:r>
      <w:r>
        <w:rPr>
          <w:rFonts w:hint="eastAsia"/>
        </w:rPr>
        <w:t>返回Object</w:t>
      </w:r>
    </w:p>
    <w:p>
      <w:pPr>
        <w:ind w:firstLine="420"/>
      </w:pPr>
      <w:r>
        <w:rPr>
          <w:rFonts w:hint="eastAsia"/>
        </w:rPr>
        <w:t>需要针对data做深度循环判断返回值是否存在注解@</w:t>
      </w:r>
      <w:r>
        <w:t xml:space="preserve"> ConvertField</w:t>
      </w:r>
      <w:r>
        <w:rPr>
          <w:rFonts w:hint="eastAsia"/>
        </w:rPr>
        <w:t>,并结合语种获取对应的值返回.</w:t>
      </w:r>
    </w:p>
    <w:p>
      <w:r>
        <w:drawing>
          <wp:inline distT="0" distB="0" distL="0" distR="0">
            <wp:extent cx="3823335" cy="22599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037" cy="22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表设计</w:t>
      </w:r>
    </w:p>
    <w:p>
      <w:pPr>
        <w:pStyle w:val="4"/>
      </w:pPr>
      <w:r>
        <w:rPr>
          <w:rFonts w:hint="eastAsia"/>
        </w:rPr>
        <w:t>转码值国际化表结构设计参考(租户级)</w:t>
      </w:r>
    </w:p>
    <w:tbl>
      <w:tblPr>
        <w:tblStyle w:val="41"/>
        <w:tblW w:w="8290" w:type="dxa"/>
        <w:tblInd w:w="0" w:type="dxa"/>
        <w:tblBorders>
          <w:top w:val="single" w:color="FFE599" w:themeColor="accent4" w:themeTint="66" w:sz="4" w:space="0"/>
          <w:left w:val="single" w:color="FFE599" w:themeColor="accent4" w:themeTint="66" w:sz="4" w:space="0"/>
          <w:bottom w:val="single" w:color="FFE599" w:themeColor="accent4" w:themeTint="66" w:sz="4" w:space="0"/>
          <w:right w:val="single" w:color="FFE599" w:themeColor="accent4" w:themeTint="66" w:sz="4" w:space="0"/>
          <w:insideH w:val="single" w:color="FFE599" w:themeColor="accent4" w:themeTint="66" w:sz="4" w:space="0"/>
          <w:insideV w:val="single" w:color="FFE599" w:themeColor="accent4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072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2073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72" w:type="dxa"/>
          </w:tcPr>
          <w:p/>
        </w:tc>
        <w:tc>
          <w:tcPr>
            <w:tcW w:w="2073" w:type="dxa"/>
          </w:tcPr>
          <w:p>
            <w:r>
              <w:t>bigint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tenant_id</w:t>
            </w:r>
          </w:p>
        </w:tc>
        <w:tc>
          <w:tcPr>
            <w:tcW w:w="2072" w:type="dxa"/>
          </w:tcPr>
          <w:p/>
        </w:tc>
        <w:tc>
          <w:tcPr>
            <w:tcW w:w="2073" w:type="dxa"/>
          </w:tcPr>
          <w:p>
            <w:r>
              <w:t>char(4)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table_name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表名称</w:t>
            </w:r>
          </w:p>
        </w:tc>
        <w:tc>
          <w:tcPr>
            <w:tcW w:w="2073" w:type="dxa"/>
          </w:tcPr>
          <w:p>
            <w:r>
              <w:t>varchar(64)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varchar(64)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类型Code值</w:t>
            </w:r>
          </w:p>
        </w:tc>
        <w:tc>
          <w:tcPr>
            <w:tcW w:w="2073" w:type="dxa"/>
          </w:tcPr>
          <w:p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language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语种</w:t>
            </w:r>
          </w:p>
        </w:tc>
        <w:tc>
          <w:tcPr>
            <w:tcW w:w="207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value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语种对应值</w:t>
            </w:r>
          </w:p>
        </w:tc>
        <w:tc>
          <w:tcPr>
            <w:tcW w:w="207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语种对应描述</w:t>
            </w:r>
          </w:p>
        </w:tc>
        <w:tc>
          <w:tcPr>
            <w:tcW w:w="2073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create_time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>
            <w:r>
              <w:t>timestamp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update_time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2073" w:type="dxa"/>
          </w:tcPr>
          <w:p>
            <w:r>
              <w:t>timestamp</w:t>
            </w:r>
          </w:p>
        </w:tc>
        <w:tc>
          <w:tcPr>
            <w:tcW w:w="2073" w:type="dxa"/>
          </w:tcPr>
          <w:p/>
        </w:tc>
      </w:tr>
    </w:tbl>
    <w:p/>
    <w:p>
      <w:pPr>
        <w:pStyle w:val="4"/>
      </w:pPr>
      <w:r>
        <w:rPr>
          <w:rFonts w:hint="eastAsia"/>
        </w:rPr>
        <w:t>固定值国际化表结构设计</w:t>
      </w:r>
      <w:r>
        <w:t>(</w:t>
      </w:r>
      <w:r>
        <w:rPr>
          <w:rFonts w:hint="eastAsia"/>
        </w:rPr>
        <w:t>全局共用</w:t>
      </w:r>
      <w:r>
        <w:t>)</w:t>
      </w:r>
    </w:p>
    <w:tbl>
      <w:tblPr>
        <w:tblStyle w:val="41"/>
        <w:tblW w:w="8290" w:type="dxa"/>
        <w:tblInd w:w="0" w:type="dxa"/>
        <w:tblBorders>
          <w:top w:val="single" w:color="FFE599" w:themeColor="accent4" w:themeTint="66" w:sz="4" w:space="0"/>
          <w:left w:val="single" w:color="FFE599" w:themeColor="accent4" w:themeTint="66" w:sz="4" w:space="0"/>
          <w:bottom w:val="single" w:color="FFE599" w:themeColor="accent4" w:themeTint="66" w:sz="4" w:space="0"/>
          <w:right w:val="single" w:color="FFE599" w:themeColor="accent4" w:themeTint="66" w:sz="4" w:space="0"/>
          <w:insideH w:val="single" w:color="FFE599" w:themeColor="accent4" w:themeTint="66" w:sz="4" w:space="0"/>
          <w:insideV w:val="single" w:color="FFE599" w:themeColor="accent4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072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2073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73" w:type="dxa"/>
            <w:tcBorders>
              <w:bottom w:val="single" w:color="FFD965" w:themeColor="accent4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>
            <w:r>
              <w:t>bigint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073" w:type="dxa"/>
          </w:tcPr>
          <w:p>
            <w:r>
              <w:t>varchar(4)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非必要</w:t>
            </w:r>
          </w:p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msg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消息</w:t>
            </w:r>
          </w:p>
        </w:tc>
        <w:tc>
          <w:tcPr>
            <w:tcW w:w="2073" w:type="dxa"/>
          </w:tcPr>
          <w:p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language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语种</w:t>
            </w:r>
          </w:p>
        </w:tc>
        <w:tc>
          <w:tcPr>
            <w:tcW w:w="2073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value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语种对应转码值</w:t>
            </w:r>
          </w:p>
        </w:tc>
        <w:tc>
          <w:tcPr>
            <w:tcW w:w="2073" w:type="dxa"/>
          </w:tcPr>
          <w:p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reate</w:t>
            </w:r>
            <w:r>
              <w:rPr>
                <w:b/>
                <w:bCs/>
              </w:rPr>
              <w:t>_time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073" w:type="dxa"/>
          </w:tcPr>
          <w:p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73" w:type="dxa"/>
          </w:tcPr>
          <w:p/>
        </w:tc>
      </w:tr>
      <w:tr>
        <w:tblPrEx>
          <w:tblBorders>
            <w:top w:val="single" w:color="FFE599" w:themeColor="accent4" w:themeTint="66" w:sz="4" w:space="0"/>
            <w:left w:val="single" w:color="FFE599" w:themeColor="accent4" w:themeTint="66" w:sz="4" w:space="0"/>
            <w:bottom w:val="single" w:color="FFE599" w:themeColor="accent4" w:themeTint="66" w:sz="4" w:space="0"/>
            <w:right w:val="single" w:color="FFE599" w:themeColor="accent4" w:themeTint="66" w:sz="4" w:space="0"/>
            <w:insideH w:val="single" w:color="FFE599" w:themeColor="accent4" w:themeTint="66" w:sz="4" w:space="0"/>
            <w:insideV w:val="single" w:color="FFE599" w:themeColor="accent4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update_time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2073" w:type="dxa"/>
          </w:tcPr>
          <w:p>
            <w:r>
              <w:t>timestamp</w:t>
            </w:r>
          </w:p>
        </w:tc>
        <w:tc>
          <w:tcPr>
            <w:tcW w:w="2073" w:type="dxa"/>
          </w:tcPr>
          <w:p/>
        </w:tc>
      </w:tr>
    </w:tbl>
    <w:p/>
    <w:p>
      <w:pPr>
        <w:pStyle w:val="2"/>
        <w:numPr>
          <w:ilvl w:val="0"/>
          <w:numId w:val="1"/>
        </w:numPr>
        <w:rPr>
          <w:sz w:val="48"/>
          <w:szCs w:val="48"/>
        </w:rPr>
      </w:pPr>
      <w:bookmarkStart w:id="6" w:name="_Toc31894939"/>
      <w:r>
        <w:rPr>
          <w:rFonts w:hint="eastAsia"/>
          <w:sz w:val="48"/>
          <w:szCs w:val="48"/>
        </w:rPr>
        <w:t>业务集成</w:t>
      </w:r>
      <w:bookmarkEnd w:id="6"/>
    </w:p>
    <w:p>
      <w:r>
        <w:rPr>
          <w:rFonts w:hint="eastAsia"/>
        </w:rPr>
        <w:t>第一: 集成核心思路解决语种链路传递.</w:t>
      </w:r>
    </w:p>
    <w:p>
      <w:r>
        <w:rPr>
          <w:rFonts w:hint="eastAsia"/>
        </w:rPr>
        <w:t>第二: 注解根据返回类型获取多语言.</w:t>
      </w:r>
    </w:p>
    <w:p>
      <w:r>
        <w:rPr>
          <w:rFonts w:hint="eastAsia"/>
        </w:rPr>
        <w:t>第三: 集成端涉及到国际化的字段表需要调整.</w:t>
      </w:r>
    </w:p>
    <w:p>
      <w:pPr>
        <w:pStyle w:val="3"/>
        <w:rPr>
          <w:rFonts w:hint="eastAsia" w:ascii="宋体" w:hAnsi="宋体" w:eastAsia="宋体"/>
          <w:sz w:val="36"/>
          <w:szCs w:val="36"/>
        </w:rPr>
      </w:pPr>
      <w:bookmarkStart w:id="7" w:name="_Toc31894940"/>
      <w:r>
        <w:rPr>
          <w:rFonts w:hint="eastAsia" w:ascii="宋体" w:hAnsi="宋体" w:eastAsia="宋体"/>
          <w:sz w:val="36"/>
          <w:szCs w:val="36"/>
        </w:rPr>
        <w:t>使用说明</w:t>
      </w:r>
      <w:bookmarkEnd w:id="7"/>
    </w:p>
    <w:p>
      <w:r>
        <w:t>-- ----------------------------</w:t>
      </w:r>
    </w:p>
    <w:p>
      <w:r>
        <w:t>--  Table structure for `i18n_core_fix`</w:t>
      </w:r>
    </w:p>
    <w:p>
      <w:r>
        <w:t>-- ----------------------------</w:t>
      </w:r>
    </w:p>
    <w:p>
      <w:r>
        <w:t>DROP TABLE IF EXISTS `i18n_core_fix`;</w:t>
      </w:r>
    </w:p>
    <w:p>
      <w:r>
        <w:t>CREATE TABLE `i18n_core_fix` (</w:t>
      </w:r>
    </w:p>
    <w:p>
      <w:r>
        <w:t xml:space="preserve">  `id` bigint(20) NOT NULL,</w:t>
      </w:r>
    </w:p>
    <w:p>
      <w:r>
        <w:t xml:space="preserve">  `tenant_id` char(4) NOT NULL,</w:t>
      </w:r>
    </w:p>
    <w:p>
      <w:r>
        <w:t xml:space="preserve">  `t_name` varchar(32) DEFAULT NULL,</w:t>
      </w:r>
    </w:p>
    <w:p>
      <w:r>
        <w:t xml:space="preserve">  `code_id` varchar(32) DEFAULT NULL,</w:t>
      </w:r>
    </w:p>
    <w:p>
      <w:r>
        <w:t xml:space="preserve">  `msg` varchar(128) DEFAULT NULL,</w:t>
      </w:r>
    </w:p>
    <w:p>
      <w:r>
        <w:t xml:space="preserve">  `language_type` varchar(32) DEFAULT NULL,</w:t>
      </w:r>
    </w:p>
    <w:p>
      <w:r>
        <w:t xml:space="preserve">  `i18n_value` varchar(128) DEFAULT NULL,</w:t>
      </w:r>
    </w:p>
    <w:p>
      <w:r>
        <w:t xml:space="preserve">  `create_time` timestamp NULL DEFAULT CURRENT_TIMESTAMP COMMENT '创建时间',</w:t>
      </w:r>
    </w:p>
    <w:p>
      <w:r>
        <w:t xml:space="preserve">  `update_time` timestamp NULL DEFAULT CURRENT_TIMESTAMP ON UPDATE CURRENT_TIMESTAMP COMMENT '更新时间',</w:t>
      </w:r>
    </w:p>
    <w:p>
      <w:r>
        <w:t xml:space="preserve">  PRIMARY KEY (`id`)</w:t>
      </w:r>
    </w:p>
    <w:p>
      <w:r>
        <w:t>) ENGINE=InnoDB DEFAULT CHARSET=utf8 COMMENT='国际化固定值转码';</w:t>
      </w:r>
    </w:p>
    <w:p/>
    <w:p>
      <w:r>
        <w:t>-- ----------------------------</w:t>
      </w:r>
    </w:p>
    <w:p>
      <w:r>
        <w:t>--  Records of `i18n_core_fix`</w:t>
      </w:r>
    </w:p>
    <w:p>
      <w:r>
        <w:t>-- ----------------------------</w:t>
      </w:r>
    </w:p>
    <w:p>
      <w:r>
        <w:t>BEGIN;</w:t>
      </w:r>
    </w:p>
    <w:p>
      <w:r>
        <w:t>INSERT INTO `i18n_core_fix` VALUES ('1', '1', 'pr_system_parameter', null, '帆帆帆帆', 'zh', '帆帆帆帆', '2020-02-18 14:21:22', '2020-02-18 14:22:50'), ('2', '1', 'pr_system_parameter', null, '帆帆帆帆', 'en', 'abcd', '2020-02-18 14:23:01', '2020-02-18 14:23:23'), ('3', '1', 'pr_system_parameter', null, '帆帆帆帆', 'id', 'id_id', '2020-02-18 14:23:29', '2020-02-18 14:23:49'), ('4', '1', 'pr_system_parameter', null, '123', 'en', '456', '2020-02-18 16:41:33', '2020-02-18 16:42:28'), ('5', '1', 'pr_system_parameter', null, '银行', 'en', 'bank', '2020-02-18 16:41:48', '2020-02-18 16:42:31'), ('6', '1', 'pr_system_parameter', null, '0.04', 'en', '0.04', '2020-02-18 16:42:01', '2020-02-18 16:42:36');</w:t>
      </w:r>
    </w:p>
    <w:p>
      <w:r>
        <w:t>COMMIT;</w:t>
      </w:r>
    </w:p>
    <w:p>
      <w:pPr>
        <w:rPr>
          <w:rFonts w:hint="eastAsia"/>
        </w:rPr>
      </w:pPr>
    </w:p>
    <w:p>
      <w:r>
        <w:t>-- ----------------------------</w:t>
      </w:r>
    </w:p>
    <w:p>
      <w:r>
        <w:t>--  Table structure for `i18n_core`</w:t>
      </w:r>
    </w:p>
    <w:p>
      <w:r>
        <w:t>-- ----------------------------</w:t>
      </w:r>
    </w:p>
    <w:p>
      <w:r>
        <w:t>DROP TABLE IF EXISTS `i18n_core`;</w:t>
      </w:r>
    </w:p>
    <w:p>
      <w:r>
        <w:t>CREATE TABLE `i18n_core` (</w:t>
      </w:r>
    </w:p>
    <w:p>
      <w:r>
        <w:t xml:space="preserve">  `id` bigint(20) NOT NULL,</w:t>
      </w:r>
    </w:p>
    <w:p>
      <w:r>
        <w:t xml:space="preserve">  `tenant_id` char(4) NOT NULL,</w:t>
      </w:r>
    </w:p>
    <w:p>
      <w:r>
        <w:t xml:space="preserve">  `t_name` varchar(32) DEFAULT NULL COMMENT '表名称',</w:t>
      </w:r>
    </w:p>
    <w:p>
      <w:r>
        <w:t xml:space="preserve">  `type_id` varchar(32) DEFAULT NULL,</w:t>
      </w:r>
    </w:p>
    <w:p>
      <w:r>
        <w:t xml:space="preserve">  `code_id` varchar(32) DEFAULT NULL,</w:t>
      </w:r>
    </w:p>
    <w:p>
      <w:r>
        <w:t xml:space="preserve">  `language_type` varchar(32) DEFAULT NULL COMMENT '语种类型',</w:t>
      </w:r>
    </w:p>
    <w:p>
      <w:r>
        <w:t xml:space="preserve">  `i18n_value` varchar(128) DEFAULT NULL,</w:t>
      </w:r>
    </w:p>
    <w:p>
      <w:r>
        <w:t xml:space="preserve">  `i18n_desc` varchar(128) DEFAULT NULL,</w:t>
      </w:r>
    </w:p>
    <w:p>
      <w:r>
        <w:t xml:space="preserve">  `create_time` timestamp NULL DEFAULT CURRENT_TIMESTAMP COMMENT '创建时间',</w:t>
      </w:r>
    </w:p>
    <w:p>
      <w:r>
        <w:t xml:space="preserve">  `update_time` timestamp NULL DEFAULT CURRENT_TIMESTAMP ON UPDATE CURRENT_TIMESTAMP COMMENT '最后更新时间',</w:t>
      </w:r>
    </w:p>
    <w:p>
      <w:r>
        <w:t xml:space="preserve">  PRIMARY KEY (`id`)</w:t>
      </w:r>
    </w:p>
    <w:p>
      <w:r>
        <w:t>) ENGINE=InnoDB DEFAULT CHARSET=utf8 COMMENT='国际化转码核心表_1';</w:t>
      </w:r>
    </w:p>
    <w:p/>
    <w:p>
      <w:r>
        <w:t>-- ----------------------------</w:t>
      </w:r>
    </w:p>
    <w:p>
      <w:r>
        <w:t>--  Records of `i18n_core`</w:t>
      </w:r>
    </w:p>
    <w:p>
      <w:r>
        <w:t>-- ----------------------------</w:t>
      </w:r>
    </w:p>
    <w:p>
      <w:r>
        <w:t>BEGIN;</w:t>
      </w:r>
    </w:p>
    <w:p>
      <w:r>
        <w:t>INSERT INTO `i18n_core` VALUES ('1', '1', 'pr_code_table', 'ENABLE_STATUS', '1', 'zh', '正常', '状态正常', '2020-02-18 14:38:16', '2020-02-18 14:39:12'), ('2', '1', 'pr_code_table', 'ENABLE_STATUS', '1', 'en', 'normal', 'normal', '2020-02-18 14:39:20', '2020-02-18 14:39:44'), ('3', '1', 'pr_code_table', 'ISVALID', '0', 'en', 'invalidation', null, '2020-02-19 14:07:22', '2020-02-19 14:08:47'), ('4', '1', 'pr_code_table', 'ISVALID', '1', 'en', 'effective', null, '2020-02-19 14:07:29', '2020-02-19 14:09:01');</w:t>
      </w:r>
    </w:p>
    <w:p>
      <w:pPr>
        <w:rPr>
          <w:rFonts w:hint="eastAsia"/>
        </w:rPr>
      </w:pPr>
      <w:r>
        <w:t>COMMIT;</w:t>
      </w:r>
    </w:p>
    <w:p>
      <w:pPr>
        <w:pStyle w:val="4"/>
        <w:rPr>
          <w:rFonts w:hint="eastAsia"/>
        </w:rPr>
      </w:pPr>
      <w:r>
        <w:rPr>
          <w:rFonts w:hint="eastAsia"/>
        </w:rPr>
        <w:t>TXN集成</w:t>
      </w:r>
    </w:p>
    <w:p>
      <w:pPr>
        <w:pStyle w:val="4"/>
        <w:rPr>
          <w:rFonts w:hint="eastAsia"/>
        </w:rPr>
      </w:pPr>
      <w:r>
        <w:rPr>
          <w:rFonts w:hint="eastAsia"/>
        </w:rPr>
        <w:t>Jrx-Auth集成</w:t>
      </w:r>
    </w:p>
    <w:p>
      <w:pPr>
        <w:pStyle w:val="3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集成i18n-starter</w:t>
      </w:r>
    </w:p>
    <w:p>
      <w:pPr>
        <w:pStyle w:val="34"/>
        <w:ind w:left="480" w:firstLine="0" w:firstLineChars="0"/>
      </w:pPr>
      <w:r>
        <w:t>&lt;dependency&gt;</w:t>
      </w:r>
    </w:p>
    <w:p>
      <w:pPr>
        <w:pStyle w:val="34"/>
        <w:ind w:left="480" w:firstLine="480"/>
      </w:pPr>
      <w:r>
        <w:tab/>
      </w:r>
      <w:r>
        <w:t>&lt;groupId&gt;com.jrx.anytxn&lt;/groupId&gt;</w:t>
      </w:r>
    </w:p>
    <w:p>
      <w:pPr>
        <w:pStyle w:val="34"/>
        <w:ind w:left="480" w:firstLine="480"/>
      </w:pPr>
      <w:r>
        <w:tab/>
      </w:r>
      <w:r>
        <w:t>&lt;artifactId&gt;anytxn-i18n-spring-boot-starter&lt;/artifactId&gt;</w:t>
      </w:r>
    </w:p>
    <w:p>
      <w:pPr>
        <w:pStyle w:val="34"/>
        <w:ind w:left="480" w:firstLine="480"/>
      </w:pPr>
      <w:r>
        <w:tab/>
      </w:r>
      <w:r>
        <w:t>&lt;version&gt;1.0.0-SNAPSHOT&lt;/version&gt;</w:t>
      </w:r>
    </w:p>
    <w:p>
      <w:pPr>
        <w:pStyle w:val="34"/>
        <w:ind w:left="480" w:firstLine="0" w:firstLineChars="0"/>
      </w:pPr>
      <w:r>
        <w:t>&lt;/dependency&gt;</w:t>
      </w:r>
    </w:p>
    <w:p>
      <w:pPr>
        <w:pStyle w:val="3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添加Config  目的为了将前端或者上游访问的租户和语种传递下去.</w:t>
      </w:r>
    </w:p>
    <w:p>
      <w:pPr>
        <w:pStyle w:val="34"/>
        <w:ind w:left="480" w:firstLine="480"/>
      </w:pPr>
      <w:r>
        <w:t>@Configuration("</w:t>
      </w:r>
      <w:r>
        <w:rPr>
          <w:rFonts w:hint="eastAsia"/>
        </w:rPr>
        <w:t>***</w:t>
      </w:r>
      <w:r>
        <w:t>Config")</w:t>
      </w:r>
    </w:p>
    <w:p>
      <w:pPr>
        <w:pStyle w:val="34"/>
        <w:ind w:left="480" w:firstLine="480"/>
      </w:pPr>
      <w:r>
        <w:t>public class WebConfiguration implements WebMvcConfigurer {</w:t>
      </w:r>
    </w:p>
    <w:p>
      <w:pPr>
        <w:pStyle w:val="34"/>
        <w:ind w:left="480" w:firstLine="480"/>
      </w:pPr>
    </w:p>
    <w:p>
      <w:pPr>
        <w:pStyle w:val="34"/>
        <w:ind w:left="480" w:firstLine="480"/>
      </w:pPr>
      <w:r>
        <w:t xml:space="preserve">    @Override</w:t>
      </w:r>
    </w:p>
    <w:p>
      <w:pPr>
        <w:pStyle w:val="34"/>
        <w:ind w:left="480" w:firstLine="480"/>
      </w:pPr>
      <w:r>
        <w:t xml:space="preserve">    public void addInterceptors(InterceptorRegistry registry) {</w:t>
      </w:r>
    </w:p>
    <w:p>
      <w:pPr>
        <w:pStyle w:val="34"/>
        <w:ind w:left="480" w:firstLine="480"/>
      </w:pPr>
      <w:r>
        <w:t xml:space="preserve">        // addPathPatterns 用于添加拦截规则 /service/** 使用下面2个拦截器</w:t>
      </w:r>
    </w:p>
    <w:p>
      <w:pPr>
        <w:pStyle w:val="34"/>
        <w:ind w:left="480" w:firstLine="480"/>
      </w:pPr>
      <w:r>
        <w:t xml:space="preserve">        // excludePathPatterns 用户排除拦截</w:t>
      </w:r>
    </w:p>
    <w:p>
      <w:pPr>
        <w:pStyle w:val="34"/>
        <w:ind w:left="480" w:firstLine="480"/>
      </w:pPr>
      <w:r>
        <w:t xml:space="preserve">        //registry.addInterceptor(getServiceAuthRestInterceptor()).addPathPatterns("/service/**");</w:t>
      </w:r>
    </w:p>
    <w:p>
      <w:pPr>
        <w:pStyle w:val="34"/>
        <w:ind w:left="480" w:firstLine="480"/>
        <w:rPr>
          <w:rFonts w:hint="eastAsia"/>
        </w:rPr>
      </w:pPr>
      <w:r>
        <w:t xml:space="preserve">        registry.addInterceptor(getTenantAndLanguageInterceptor()).addPathPatterns("</w:t>
      </w:r>
      <w:r>
        <w:rPr>
          <w:highlight w:val="yellow"/>
        </w:rPr>
        <w:t>/param/systems/**</w:t>
      </w:r>
      <w:r>
        <w:t>");</w:t>
      </w:r>
      <w:r>
        <w:rPr>
          <w:rFonts w:hint="eastAsia"/>
        </w:rPr>
        <w:t>// 对应的controller路径</w:t>
      </w:r>
    </w:p>
    <w:p>
      <w:pPr>
        <w:pStyle w:val="34"/>
        <w:ind w:left="480" w:firstLine="480"/>
      </w:pPr>
      <w:r>
        <w:t xml:space="preserve">    }</w:t>
      </w:r>
    </w:p>
    <w:p>
      <w:pPr>
        <w:pStyle w:val="34"/>
        <w:ind w:left="480" w:firstLine="480"/>
      </w:pPr>
    </w:p>
    <w:p>
      <w:pPr>
        <w:pStyle w:val="34"/>
        <w:ind w:left="480" w:firstLine="480"/>
      </w:pPr>
      <w:r>
        <w:t xml:space="preserve">    @Bean</w:t>
      </w:r>
    </w:p>
    <w:p>
      <w:pPr>
        <w:pStyle w:val="34"/>
        <w:ind w:left="480" w:firstLine="480"/>
      </w:pPr>
      <w:r>
        <w:t xml:space="preserve">    TenantAndLanguageInterceptor getTenantAndLanguageInterceptor() {</w:t>
      </w:r>
    </w:p>
    <w:p>
      <w:pPr>
        <w:pStyle w:val="34"/>
        <w:ind w:left="480" w:firstLine="480"/>
      </w:pPr>
      <w:r>
        <w:t xml:space="preserve">        return new TenantAndLanguageInterceptor();</w:t>
      </w:r>
    </w:p>
    <w:p>
      <w:pPr>
        <w:pStyle w:val="34"/>
        <w:ind w:left="480" w:firstLine="480"/>
      </w:pPr>
      <w:r>
        <w:t xml:space="preserve">    }</w:t>
      </w:r>
    </w:p>
    <w:p>
      <w:pPr>
        <w:pStyle w:val="34"/>
        <w:ind w:left="480" w:firstLine="480"/>
      </w:pPr>
    </w:p>
    <w:p>
      <w:pPr>
        <w:pStyle w:val="34"/>
        <w:ind w:left="480" w:firstLine="0" w:firstLineChars="0"/>
        <w:rPr>
          <w:rFonts w:hint="eastAsia"/>
        </w:rPr>
      </w:pPr>
      <w:r>
        <w:t>}</w:t>
      </w:r>
    </w:p>
    <w:p>
      <w:pPr>
        <w:pStyle w:val="3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集成接口</w:t>
      </w:r>
      <w:r>
        <w:t>I18nService</w:t>
      </w:r>
    </w:p>
    <w:p>
      <w:pPr>
        <w:pStyle w:val="34"/>
        <w:ind w:left="480" w:firstLine="480"/>
      </w:pPr>
      <w:r>
        <w:t>public class **** implements I18nService {</w:t>
      </w:r>
    </w:p>
    <w:p>
      <w:pPr>
        <w:pStyle w:val="34"/>
        <w:ind w:left="480" w:firstLine="480"/>
        <w:rPr>
          <w:rFonts w:hint="eastAsia"/>
        </w:rPr>
      </w:pPr>
    </w:p>
    <w:p>
      <w:pPr>
        <w:pStyle w:val="34"/>
        <w:ind w:left="48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类型1</w:t>
      </w:r>
    </w:p>
    <w:p>
      <w:pPr>
        <w:pStyle w:val="34"/>
        <w:ind w:left="480" w:firstLine="480"/>
      </w:pPr>
      <w:r>
        <w:t xml:space="preserve">    @Override</w:t>
      </w:r>
    </w:p>
    <w:p>
      <w:pPr>
        <w:pStyle w:val="34"/>
        <w:ind w:left="480" w:firstLine="480"/>
      </w:pPr>
      <w:r>
        <w:t xml:space="preserve">    public String getI18nKeyValueByTenantId(String tenantId, String code, String value, String tableName, String language) {</w:t>
      </w:r>
    </w:p>
    <w:p>
      <w:pPr>
        <w:pStyle w:val="34"/>
        <w:ind w:left="480" w:firstLine="480"/>
      </w:pPr>
      <w:r>
        <w:t xml:space="preserve">    </w:t>
      </w:r>
      <w:r>
        <w:tab/>
      </w:r>
      <w:r>
        <w:t>// 先缓存在数据库</w:t>
      </w:r>
    </w:p>
    <w:p>
      <w:pPr>
        <w:pStyle w:val="34"/>
        <w:ind w:left="480" w:firstLine="480"/>
      </w:pPr>
      <w:r>
        <w:t xml:space="preserve">        return "";</w:t>
      </w:r>
    </w:p>
    <w:p>
      <w:pPr>
        <w:pStyle w:val="34"/>
        <w:ind w:left="480" w:firstLine="480"/>
      </w:pPr>
      <w:r>
        <w:t xml:space="preserve">    }</w:t>
      </w:r>
    </w:p>
    <w:p>
      <w:pPr>
        <w:pStyle w:val="34"/>
        <w:ind w:left="480" w:firstLine="480"/>
      </w:pPr>
    </w:p>
    <w:p>
      <w:pPr>
        <w:pStyle w:val="34"/>
        <w:ind w:left="480" w:firstLine="480"/>
      </w:pPr>
      <w:r>
        <w:t xml:space="preserve">    @Override</w:t>
      </w:r>
    </w:p>
    <w:p>
      <w:pPr>
        <w:pStyle w:val="34"/>
        <w:ind w:left="480" w:firstLine="480"/>
      </w:pPr>
      <w:r>
        <w:t xml:space="preserve">    public String getI18nTextValueByTenantId(String tenantId, String code, String value, String language) {</w:t>
      </w:r>
    </w:p>
    <w:p>
      <w:pPr>
        <w:pStyle w:val="34"/>
        <w:ind w:left="480" w:firstLine="480"/>
      </w:pPr>
      <w:r>
        <w:t xml:space="preserve">    </w:t>
      </w:r>
      <w:r>
        <w:tab/>
      </w:r>
      <w:r>
        <w:t>// 先缓存在数据库</w:t>
      </w:r>
    </w:p>
    <w:p>
      <w:pPr>
        <w:pStyle w:val="34"/>
        <w:ind w:left="480" w:firstLine="480"/>
      </w:pPr>
      <w:r>
        <w:t xml:space="preserve">        return "";</w:t>
      </w:r>
    </w:p>
    <w:p>
      <w:pPr>
        <w:pStyle w:val="34"/>
        <w:ind w:left="480" w:firstLine="480"/>
      </w:pPr>
      <w:r>
        <w:t xml:space="preserve">    }</w:t>
      </w:r>
    </w:p>
    <w:p>
      <w:pPr>
        <w:pStyle w:val="34"/>
        <w:ind w:left="480" w:firstLine="0" w:firstLineChars="0"/>
        <w:rPr>
          <w:rFonts w:hint="eastAsia"/>
        </w:rPr>
      </w:pPr>
      <w:r>
        <w:t>}</w:t>
      </w:r>
    </w:p>
    <w:p>
      <w:pPr>
        <w:pStyle w:val="3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需要国际化的字段添加注解</w:t>
      </w:r>
    </w:p>
    <w:p>
      <w:pPr>
        <w:pStyle w:val="34"/>
        <w:ind w:left="480" w:firstLine="0" w:firstLineChars="0"/>
        <w:rPr>
          <w:rFonts w:hint="eastAsia"/>
        </w:rPr>
      </w:pPr>
      <w:r>
        <w:drawing>
          <wp:inline distT="0" distB="0" distL="0" distR="0">
            <wp:extent cx="5270500" cy="221488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SPI反射配置添加</w:t>
      </w:r>
    </w:p>
    <w:p>
      <w:pPr>
        <w:rPr>
          <w:rFonts w:hint="eastAsia"/>
        </w:rPr>
      </w:pPr>
      <w:r>
        <w:drawing>
          <wp:inline distT="0" distB="0" distL="0" distR="0">
            <wp:extent cx="5270500" cy="63119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文件内容实现I18nService的类全路径 com</w:t>
      </w:r>
      <w:r>
        <w:t>.***.***</w:t>
      </w:r>
    </w:p>
    <w:p>
      <w:r>
        <w:drawing>
          <wp:inline distT="0" distB="0" distL="0" distR="0">
            <wp:extent cx="5270500" cy="6572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jrx-auth-filter改造</w:t>
      </w:r>
    </w:p>
    <w:p>
      <w:pPr>
        <w:pStyle w:val="34"/>
        <w:ind w:left="480" w:firstLine="0" w:firstLineChars="0"/>
        <w:rPr>
          <w:rFonts w:hint="eastAsia"/>
        </w:rPr>
      </w:pPr>
      <w:r>
        <w:rPr>
          <w:rFonts w:hint="eastAsia"/>
        </w:rPr>
        <w:t>filter 需要在请求中添加</w:t>
      </w:r>
    </w:p>
    <w:p>
      <w:pPr>
        <w:rPr>
          <w:rFonts w:hint="eastAsia"/>
        </w:rPr>
      </w:pPr>
      <w:r>
        <w:rPr>
          <w:rFonts w:hint="eastAsia"/>
        </w:rPr>
        <w:t>// 租户ID</w:t>
      </w:r>
    </w:p>
    <w:p>
      <w:pPr>
        <w:rPr>
          <w:rFonts w:hint="eastAsia"/>
        </w:rPr>
      </w:pPr>
      <w:r>
        <w:t>BaseContextHandler.set("tenantId",tenantId);</w:t>
      </w:r>
    </w:p>
    <w:p>
      <w:pPr>
        <w:rPr>
          <w:rFonts w:hint="eastAsia"/>
        </w:rPr>
      </w:pPr>
      <w:r>
        <w:rPr>
          <w:rFonts w:hint="eastAsia"/>
        </w:rPr>
        <w:t>// 语种</w:t>
      </w:r>
    </w:p>
    <w:p>
      <w:pPr>
        <w:rPr>
          <w:rFonts w:hint="eastAsia"/>
        </w:rPr>
      </w:pPr>
      <w:r>
        <w:t>BaseContextHandler.set("languageType",languageType);</w:t>
      </w:r>
    </w:p>
    <w:p>
      <w:pPr>
        <w:rPr>
          <w:rFonts w:hint="eastAsia"/>
        </w:rPr>
      </w:pPr>
    </w:p>
    <w:p>
      <w:pPr>
        <w:pStyle w:val="34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rx-auth与前端交互header头添加语种</w:t>
      </w:r>
    </w:p>
    <w:p>
      <w:r>
        <w:t xml:space="preserve">    /**</w:t>
      </w:r>
    </w:p>
    <w:p>
      <w:r>
        <w:t xml:space="preserve">     * 语种Header</w:t>
      </w:r>
    </w:p>
    <w:p>
      <w:r>
        <w:t xml:space="preserve">     */</w:t>
      </w:r>
    </w:p>
    <w:p>
      <w:pPr>
        <w:rPr>
          <w:rFonts w:hint="eastAsia"/>
        </w:rPr>
      </w:pPr>
      <w:r>
        <w:t xml:space="preserve">    String LANGUAGE_HEADER = "x_language_header";</w:t>
      </w:r>
    </w:p>
    <w:p>
      <w:pPr>
        <w:pStyle w:val="2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会议总结</w:t>
      </w:r>
    </w:p>
    <w:p>
      <w:r>
        <w:rPr>
          <w:rFonts w:hint="eastAsia"/>
        </w:rPr>
        <w:t>1,需求不够详尽</w:t>
      </w:r>
    </w:p>
    <w:p>
      <w:r>
        <w:rPr>
          <w:rFonts w:hint="eastAsia"/>
        </w:rPr>
        <w:t>2,传递服务链具体解决方案</w:t>
      </w:r>
    </w:p>
    <w:p>
      <w:r>
        <w:rPr>
          <w:rFonts w:hint="eastAsia"/>
        </w:rPr>
        <w:t>3,后台PC端可以完善下.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6FBA"/>
    <w:multiLevelType w:val="multilevel"/>
    <w:tmpl w:val="18676FBA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783D219C"/>
    <w:multiLevelType w:val="multilevel"/>
    <w:tmpl w:val="783D21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98"/>
    <w:rsid w:val="00007237"/>
    <w:rsid w:val="00012D9E"/>
    <w:rsid w:val="0001632E"/>
    <w:rsid w:val="00016D93"/>
    <w:rsid w:val="00045CD4"/>
    <w:rsid w:val="00051436"/>
    <w:rsid w:val="00063CC6"/>
    <w:rsid w:val="00066959"/>
    <w:rsid w:val="00074A3F"/>
    <w:rsid w:val="00087E4D"/>
    <w:rsid w:val="000A457B"/>
    <w:rsid w:val="000B4475"/>
    <w:rsid w:val="000C5EBF"/>
    <w:rsid w:val="000D61A9"/>
    <w:rsid w:val="000D7798"/>
    <w:rsid w:val="000E01A1"/>
    <w:rsid w:val="000E387D"/>
    <w:rsid w:val="000E7773"/>
    <w:rsid w:val="000F1190"/>
    <w:rsid w:val="001061B1"/>
    <w:rsid w:val="00154B00"/>
    <w:rsid w:val="00184077"/>
    <w:rsid w:val="001867B6"/>
    <w:rsid w:val="00191583"/>
    <w:rsid w:val="001C294E"/>
    <w:rsid w:val="001D0C67"/>
    <w:rsid w:val="001F70B9"/>
    <w:rsid w:val="002035D1"/>
    <w:rsid w:val="002043AE"/>
    <w:rsid w:val="0020490A"/>
    <w:rsid w:val="00212937"/>
    <w:rsid w:val="002152B2"/>
    <w:rsid w:val="00222F32"/>
    <w:rsid w:val="00235768"/>
    <w:rsid w:val="00235B1F"/>
    <w:rsid w:val="0024785F"/>
    <w:rsid w:val="00253F0B"/>
    <w:rsid w:val="00254158"/>
    <w:rsid w:val="00284252"/>
    <w:rsid w:val="002A09C8"/>
    <w:rsid w:val="002A1A4A"/>
    <w:rsid w:val="002F49AC"/>
    <w:rsid w:val="00303DE5"/>
    <w:rsid w:val="00306451"/>
    <w:rsid w:val="00337C96"/>
    <w:rsid w:val="0036188B"/>
    <w:rsid w:val="003635D0"/>
    <w:rsid w:val="00365D62"/>
    <w:rsid w:val="003912A2"/>
    <w:rsid w:val="00393DDB"/>
    <w:rsid w:val="00397996"/>
    <w:rsid w:val="003A5A9E"/>
    <w:rsid w:val="003B0DEB"/>
    <w:rsid w:val="003B4B9D"/>
    <w:rsid w:val="003C10FF"/>
    <w:rsid w:val="003D6EB0"/>
    <w:rsid w:val="003D7920"/>
    <w:rsid w:val="003E3A58"/>
    <w:rsid w:val="003F7E01"/>
    <w:rsid w:val="00400B32"/>
    <w:rsid w:val="0040369B"/>
    <w:rsid w:val="004116B9"/>
    <w:rsid w:val="00411F81"/>
    <w:rsid w:val="00416B9B"/>
    <w:rsid w:val="0042099B"/>
    <w:rsid w:val="00442282"/>
    <w:rsid w:val="0048052C"/>
    <w:rsid w:val="004B2B5D"/>
    <w:rsid w:val="004C2F10"/>
    <w:rsid w:val="004C7CDF"/>
    <w:rsid w:val="004D0653"/>
    <w:rsid w:val="004D1132"/>
    <w:rsid w:val="004D5CE5"/>
    <w:rsid w:val="004E4455"/>
    <w:rsid w:val="004F1B7E"/>
    <w:rsid w:val="004F4082"/>
    <w:rsid w:val="004F45EF"/>
    <w:rsid w:val="004F778F"/>
    <w:rsid w:val="00513A3C"/>
    <w:rsid w:val="00516CAA"/>
    <w:rsid w:val="00525506"/>
    <w:rsid w:val="005410B0"/>
    <w:rsid w:val="005471D9"/>
    <w:rsid w:val="005560DB"/>
    <w:rsid w:val="00560135"/>
    <w:rsid w:val="005626EB"/>
    <w:rsid w:val="0057067F"/>
    <w:rsid w:val="00573804"/>
    <w:rsid w:val="005A1159"/>
    <w:rsid w:val="005B6935"/>
    <w:rsid w:val="005E0317"/>
    <w:rsid w:val="005E758F"/>
    <w:rsid w:val="005F342D"/>
    <w:rsid w:val="006051F2"/>
    <w:rsid w:val="00606417"/>
    <w:rsid w:val="0060798B"/>
    <w:rsid w:val="006111A0"/>
    <w:rsid w:val="00634105"/>
    <w:rsid w:val="00643E04"/>
    <w:rsid w:val="00651FE8"/>
    <w:rsid w:val="006546D0"/>
    <w:rsid w:val="00655B76"/>
    <w:rsid w:val="00664621"/>
    <w:rsid w:val="00671446"/>
    <w:rsid w:val="00693907"/>
    <w:rsid w:val="006A6748"/>
    <w:rsid w:val="006B4AB1"/>
    <w:rsid w:val="006B5AE4"/>
    <w:rsid w:val="006C3CBF"/>
    <w:rsid w:val="006D23A3"/>
    <w:rsid w:val="00735BF8"/>
    <w:rsid w:val="007550B0"/>
    <w:rsid w:val="007720DC"/>
    <w:rsid w:val="00792055"/>
    <w:rsid w:val="007B166D"/>
    <w:rsid w:val="007C2F75"/>
    <w:rsid w:val="007D2828"/>
    <w:rsid w:val="007D7997"/>
    <w:rsid w:val="007E700E"/>
    <w:rsid w:val="007F4EF0"/>
    <w:rsid w:val="008207EF"/>
    <w:rsid w:val="008228DD"/>
    <w:rsid w:val="008379B6"/>
    <w:rsid w:val="00837A67"/>
    <w:rsid w:val="008474CE"/>
    <w:rsid w:val="00864F3E"/>
    <w:rsid w:val="00875A8A"/>
    <w:rsid w:val="00876EB7"/>
    <w:rsid w:val="0089087C"/>
    <w:rsid w:val="00891079"/>
    <w:rsid w:val="00896F5E"/>
    <w:rsid w:val="008A2039"/>
    <w:rsid w:val="008A78DB"/>
    <w:rsid w:val="008B0EF5"/>
    <w:rsid w:val="008C637A"/>
    <w:rsid w:val="008C69AB"/>
    <w:rsid w:val="008E5455"/>
    <w:rsid w:val="008F3A63"/>
    <w:rsid w:val="008F4503"/>
    <w:rsid w:val="008F48A5"/>
    <w:rsid w:val="00900B05"/>
    <w:rsid w:val="0090105A"/>
    <w:rsid w:val="00924775"/>
    <w:rsid w:val="009443B5"/>
    <w:rsid w:val="009527BF"/>
    <w:rsid w:val="00954F44"/>
    <w:rsid w:val="00965EDA"/>
    <w:rsid w:val="009679B4"/>
    <w:rsid w:val="00981E86"/>
    <w:rsid w:val="009948E8"/>
    <w:rsid w:val="009A1456"/>
    <w:rsid w:val="009A2D02"/>
    <w:rsid w:val="009D3C4E"/>
    <w:rsid w:val="009F081D"/>
    <w:rsid w:val="00A03856"/>
    <w:rsid w:val="00A100B8"/>
    <w:rsid w:val="00A102AA"/>
    <w:rsid w:val="00A14C4C"/>
    <w:rsid w:val="00A14EAD"/>
    <w:rsid w:val="00A20554"/>
    <w:rsid w:val="00A46CDF"/>
    <w:rsid w:val="00A502A2"/>
    <w:rsid w:val="00A52D75"/>
    <w:rsid w:val="00A56B9E"/>
    <w:rsid w:val="00A56D3F"/>
    <w:rsid w:val="00A57719"/>
    <w:rsid w:val="00A64C60"/>
    <w:rsid w:val="00A77128"/>
    <w:rsid w:val="00A82104"/>
    <w:rsid w:val="00A82625"/>
    <w:rsid w:val="00A91756"/>
    <w:rsid w:val="00A92EC6"/>
    <w:rsid w:val="00AB0F74"/>
    <w:rsid w:val="00AD5D9F"/>
    <w:rsid w:val="00AE2F2A"/>
    <w:rsid w:val="00B13D93"/>
    <w:rsid w:val="00B42D34"/>
    <w:rsid w:val="00B52001"/>
    <w:rsid w:val="00B53D7E"/>
    <w:rsid w:val="00B611DA"/>
    <w:rsid w:val="00B62738"/>
    <w:rsid w:val="00B67E98"/>
    <w:rsid w:val="00B83EB2"/>
    <w:rsid w:val="00B87505"/>
    <w:rsid w:val="00B96C7F"/>
    <w:rsid w:val="00BB2741"/>
    <w:rsid w:val="00BB7C40"/>
    <w:rsid w:val="00BC6E91"/>
    <w:rsid w:val="00BE3AA4"/>
    <w:rsid w:val="00BE4471"/>
    <w:rsid w:val="00BF031A"/>
    <w:rsid w:val="00BF0E80"/>
    <w:rsid w:val="00C12DC8"/>
    <w:rsid w:val="00C24077"/>
    <w:rsid w:val="00C33082"/>
    <w:rsid w:val="00C400E0"/>
    <w:rsid w:val="00C570B6"/>
    <w:rsid w:val="00C62DC9"/>
    <w:rsid w:val="00C81872"/>
    <w:rsid w:val="00C835C8"/>
    <w:rsid w:val="00C85E13"/>
    <w:rsid w:val="00C95A36"/>
    <w:rsid w:val="00CB3336"/>
    <w:rsid w:val="00CE5BC4"/>
    <w:rsid w:val="00CF1183"/>
    <w:rsid w:val="00CF1E73"/>
    <w:rsid w:val="00CF2DC8"/>
    <w:rsid w:val="00CF5373"/>
    <w:rsid w:val="00D06AC8"/>
    <w:rsid w:val="00D11E5C"/>
    <w:rsid w:val="00D2002C"/>
    <w:rsid w:val="00D27B1C"/>
    <w:rsid w:val="00D415AC"/>
    <w:rsid w:val="00D41667"/>
    <w:rsid w:val="00D555C4"/>
    <w:rsid w:val="00D63C9F"/>
    <w:rsid w:val="00D66F12"/>
    <w:rsid w:val="00D71095"/>
    <w:rsid w:val="00D71A15"/>
    <w:rsid w:val="00D93869"/>
    <w:rsid w:val="00D95B74"/>
    <w:rsid w:val="00DA17A6"/>
    <w:rsid w:val="00DA4FBB"/>
    <w:rsid w:val="00DA7C78"/>
    <w:rsid w:val="00DC04B1"/>
    <w:rsid w:val="00DC2082"/>
    <w:rsid w:val="00DC33A4"/>
    <w:rsid w:val="00DE1ADE"/>
    <w:rsid w:val="00DE613F"/>
    <w:rsid w:val="00E10859"/>
    <w:rsid w:val="00E15899"/>
    <w:rsid w:val="00E26127"/>
    <w:rsid w:val="00E3088F"/>
    <w:rsid w:val="00E31214"/>
    <w:rsid w:val="00E51868"/>
    <w:rsid w:val="00E5462E"/>
    <w:rsid w:val="00E6195A"/>
    <w:rsid w:val="00E67A5A"/>
    <w:rsid w:val="00E9054D"/>
    <w:rsid w:val="00EB7D10"/>
    <w:rsid w:val="00EC6630"/>
    <w:rsid w:val="00ED047B"/>
    <w:rsid w:val="00ED2DF5"/>
    <w:rsid w:val="00EE5422"/>
    <w:rsid w:val="00EF46C4"/>
    <w:rsid w:val="00EF63C6"/>
    <w:rsid w:val="00EF6F67"/>
    <w:rsid w:val="00F035A3"/>
    <w:rsid w:val="00F03930"/>
    <w:rsid w:val="00F07F7F"/>
    <w:rsid w:val="00F15762"/>
    <w:rsid w:val="00F3611D"/>
    <w:rsid w:val="00F63A7F"/>
    <w:rsid w:val="00F664B3"/>
    <w:rsid w:val="00F74BEE"/>
    <w:rsid w:val="00F75107"/>
    <w:rsid w:val="00F75F33"/>
    <w:rsid w:val="00F82DB5"/>
    <w:rsid w:val="00F92B31"/>
    <w:rsid w:val="00FB5934"/>
    <w:rsid w:val="00FD29FE"/>
    <w:rsid w:val="00FE357E"/>
    <w:rsid w:val="00FE56CF"/>
    <w:rsid w:val="00FE5D54"/>
    <w:rsid w:val="00FE7AD6"/>
    <w:rsid w:val="00FE7DEA"/>
    <w:rsid w:val="00FF29B8"/>
    <w:rsid w:val="3F56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5" w:lineRule="auto"/>
      <w:ind w:left="480" w:leftChars="20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semiHidden/>
    <w:unhideWhenUsed/>
    <w:uiPriority w:val="39"/>
    <w:pPr>
      <w:ind w:left="1440"/>
      <w:jc w:val="left"/>
    </w:pPr>
    <w:rPr>
      <w:rFonts w:eastAsiaTheme="minorHAnsi"/>
      <w:sz w:val="20"/>
      <w:szCs w:val="20"/>
    </w:rPr>
  </w:style>
  <w:style w:type="paragraph" w:styleId="9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42"/>
    <w:semiHidden/>
    <w:unhideWhenUsed/>
    <w:qFormat/>
    <w:uiPriority w:val="99"/>
    <w:rPr>
      <w:rFonts w:ascii="宋体" w:eastAsia="宋体"/>
    </w:rPr>
  </w:style>
  <w:style w:type="paragraph" w:styleId="11">
    <w:name w:val="toc 5"/>
    <w:basedOn w:val="1"/>
    <w:next w:val="1"/>
    <w:semiHidden/>
    <w:unhideWhenUsed/>
    <w:qFormat/>
    <w:uiPriority w:val="39"/>
    <w:pPr>
      <w:ind w:left="960"/>
      <w:jc w:val="left"/>
    </w:pPr>
    <w:rPr>
      <w:rFonts w:eastAsiaTheme="minorHAnsi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sz w:val="22"/>
      <w:szCs w:val="22"/>
    </w:rPr>
  </w:style>
  <w:style w:type="paragraph" w:styleId="13">
    <w:name w:val="toc 8"/>
    <w:basedOn w:val="1"/>
    <w:next w:val="1"/>
    <w:semiHidden/>
    <w:unhideWhenUsed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14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5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</w:rPr>
  </w:style>
  <w:style w:type="paragraph" w:styleId="16">
    <w:name w:val="toc 4"/>
    <w:basedOn w:val="1"/>
    <w:next w:val="1"/>
    <w:semiHidden/>
    <w:unhideWhenUsed/>
    <w:qFormat/>
    <w:uiPriority w:val="39"/>
    <w:pPr>
      <w:ind w:left="720"/>
      <w:jc w:val="left"/>
    </w:pPr>
    <w:rPr>
      <w:rFonts w:eastAsiaTheme="minorHAnsi"/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39"/>
    <w:pPr>
      <w:ind w:left="1200"/>
      <w:jc w:val="left"/>
    </w:pPr>
    <w:rPr>
      <w:rFonts w:eastAsiaTheme="minorHAnsi"/>
      <w:sz w:val="20"/>
      <w:szCs w:val="20"/>
    </w:rPr>
  </w:style>
  <w:style w:type="paragraph" w:styleId="18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39"/>
    <w:pPr>
      <w:ind w:left="1920"/>
      <w:jc w:val="left"/>
    </w:pPr>
    <w:rPr>
      <w:rFonts w:eastAsiaTheme="minorHAnsi"/>
      <w:sz w:val="20"/>
      <w:szCs w:val="20"/>
    </w:rPr>
  </w:style>
  <w:style w:type="paragraph" w:styleId="20">
    <w:name w:val="HTML Preformatted"/>
    <w:basedOn w:val="1"/>
    <w:link w:val="2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2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1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8">
    <w:name w:val="标题 3字符"/>
    <w:basedOn w:val="23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9">
    <w:name w:val="HTML 预设格式字符"/>
    <w:basedOn w:val="23"/>
    <w:link w:val="20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4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字符"/>
    <w:basedOn w:val="23"/>
    <w:link w:val="7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3">
    <w:name w:val="日期字符"/>
    <w:basedOn w:val="23"/>
    <w:link w:val="14"/>
    <w:semiHidden/>
    <w:uiPriority w:val="99"/>
    <w:rPr>
      <w:rFonts w:eastAsia="宋体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pl-k"/>
    <w:basedOn w:val="23"/>
    <w:qFormat/>
    <w:uiPriority w:val="0"/>
  </w:style>
  <w:style w:type="table" w:customStyle="1" w:styleId="36">
    <w:name w:val="Grid Table Light"/>
    <w:basedOn w:val="21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Plain Table 1"/>
    <w:basedOn w:val="21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">
    <w:name w:val="Plain Table 2"/>
    <w:basedOn w:val="21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">
    <w:name w:val="Plain Table 3"/>
    <w:basedOn w:val="21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">
    <w:name w:val="Grid Table 1 Light"/>
    <w:basedOn w:val="2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Grid Table 1 Light Accent 4"/>
    <w:basedOn w:val="21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2">
    <w:name w:val="文档结构图字符"/>
    <w:basedOn w:val="23"/>
    <w:link w:val="10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0999B-814F-9F49-A7D4-D890652743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1138</Words>
  <Characters>6492</Characters>
  <Lines>54</Lines>
  <Paragraphs>15</Paragraphs>
  <TotalTime>14</TotalTime>
  <ScaleCrop>false</ScaleCrop>
  <LinksUpToDate>false</LinksUpToDate>
  <CharactersWithSpaces>7615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2020-02-19T08:13:00Z</dcterms:created>
  <dc:creator>office</dc:creator>
  <cp:lastModifiedBy>不知道</cp:lastModifiedBy>
  <dcterms:modified xsi:type="dcterms:W3CDTF">2020-02-24T02:58:14Z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