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 w:line="506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AI工具使用详情</w:t>
      </w:r>
    </w:p>
    <w:p>
      <w:pPr>
        <w:spacing w:after="80" w:line="288"/>
        <w:jc w:val="both"/>
      </w:pPr>
      <w:r>
        <w:rPr>
          <w:rFonts w:ascii="Times New Roman" w:eastAsia="KaiTi"/>
          <w:i/>
          <w:iCs/>
          <w:color w:val="595959"/>
          <w:sz w:val="21"/>
          <w:szCs w:val="21"/>
        </w:rPr>
        <w:t xml:space="preserve">编制依据：《全国大学生数学建模竞赛人工智能工具使用规定（2026年试行）》。使用了AI工具的参赛队须在支撑材料中附本报告，提交时导出为PDF格式，文件名固定为“AI工具使用详情.pdf”；未使用AI工具的队不需填写本报告。本模板中【】内为待填项，标有“示例”的行仅作格式参考，填写时请删除。</w:t>
      </w:r>
    </w:p>
    <w:p>
      <w:pPr>
        <w:spacing w:after="80" w:line="288"/>
        <w:jc w:val="both"/>
      </w:pPr>
      <w:r>
        <w:rPr>
          <w:rFonts w:ascii="Times New Roman" w:eastAsia="KaiTi"/>
          <w:i/>
          <w:iCs/>
          <w:color w:val="595959"/>
          <w:sz w:val="21"/>
          <w:szCs w:val="21"/>
        </w:rPr>
        <w:t xml:space="preserve">同时请注意：论文中须在参考文献之前设置“AI工具使用声明”，使用者声明句式：“本参赛队在竞赛过程中使用了AI工具，主要用于【简要用途，如语言润色、代码调试等】，详细使用情况见支撑材料。”该声明不在本报告中重复，而是放在论文正文末尾。</w:t>
      </w:r>
    </w:p>
    <w:p>
      <w:pPr>
        <w:pStyle w:val="Heading1"/>
        <w:spacing w:after="140" w:before="28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一、基本信息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39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题号</w:t>
            </w:r>
          </w:p>
        </w:tc>
        <w:tc>
          <w:tcPr>
            <w:tcW w:type="pct" w:w="3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A/B/C/D/E/F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题目名称</w:t>
            </w:r>
          </w:p>
        </w:tc>
        <w:tc>
          <w:tcPr>
            <w:tcW w:type="pct" w:w="3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【题目名称】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填写日期</w:t>
            </w:r>
          </w:p>
        </w:tc>
        <w:tc>
          <w:tcPr>
            <w:tcW w:type="pct" w:w="3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【____年____月____日】（比赛结束前填写）</w:t>
            </w:r>
          </w:p>
        </w:tc>
      </w:tr>
    </w:tbl>
    <w:p>
      <w:pPr>
        <w:spacing w:after="80" w:line="288"/>
        <w:jc w:val="both"/>
      </w:pPr>
      <w:r>
        <w:rPr>
          <w:rFonts w:ascii="Times New Roman" w:eastAsia="KaiTi"/>
          <w:i/>
          <w:iCs/>
          <w:color w:val="595959"/>
          <w:sz w:val="21"/>
          <w:szCs w:val="21"/>
        </w:rPr>
        <w:t xml:space="preserve">说明：若赛区另有要求（如须注明参赛队号/控制号），按赛区通知增补相应信息。</w:t>
      </w:r>
    </w:p>
    <w:p>
      <w:pPr>
        <w:pStyle w:val="Heading1"/>
        <w:spacing w:after="140" w:before="28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二、所用AI工具名称、版本或型号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逐一列出竞赛期间使用的全部AI工具。行数不足时可自行增加。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03"/>
        <w:gridCol w:w="2636"/>
        <w:gridCol w:w="2636"/>
        <w:gridCol w:w="2812"/>
      </w:tblGrid>
      <w:tr>
        <w:trPr>
          <w:cantSplit/>
          <w:tblHeader/>
        </w:trPr>
        <w:tc>
          <w:tcPr>
            <w:tcW w:type="pct" w:w="4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工具名称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版本或型号</w:t>
            </w:r>
          </w:p>
        </w:tc>
        <w:tc>
          <w:tcPr>
            <w:tcW w:type="pct" w:w="16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主要用途概要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【示例：ChatGPT】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【示例：GPT-5】</w:t>
            </w:r>
          </w:p>
        </w:tc>
        <w:tc>
          <w:tcPr>
            <w:tcW w:type="pct" w:w="1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【示例：语言润色、代码调试】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【示例：Claude Code】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【示例：工具版本号】</w:t>
            </w:r>
          </w:p>
        </w:tc>
        <w:tc>
          <w:tcPr>
            <w:tcW w:type="pct" w:w="1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【示例：数据清洗与求解代码生成】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5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</w:tbl>
    <w:p>
      <w:pPr>
        <w:pStyle w:val="Heading1"/>
        <w:spacing w:after="140" w:before="28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三、具体使用目的和环节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按建模全流程逐环节说明是否使用了AI工具及具体用途；未使用的环节填“未使用”。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09"/>
        <w:gridCol w:w="1055"/>
        <w:gridCol w:w="5624"/>
      </w:tblGrid>
      <w:tr>
        <w:trPr>
          <w:cantSplit/>
          <w:tblHeader/>
        </w:trPr>
        <w:tc>
          <w:tcPr>
            <w:tcW w:type="pct" w:w="12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使用环节</w:t>
            </w:r>
          </w:p>
        </w:tc>
        <w:tc>
          <w:tcPr>
            <w:tcW w:type="pct" w:w="6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是否使用</w:t>
            </w:r>
          </w:p>
        </w:tc>
        <w:tc>
          <w:tcPr>
            <w:tcW w:type="pct" w:w="32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具体用途说明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题目理解与审题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文献资料检索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数据预处理与清洗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模型构思与选择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代码编写与调试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图表绘制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论文语言润色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论文格式校对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</w:t>
            </w:r>
          </w:p>
        </w:tc>
        <w:tc>
          <w:tcPr>
            <w:tcW w:type="pct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【是/否】</w:t>
            </w:r>
          </w:p>
        </w:tc>
        <w:tc>
          <w:tcPr>
            <w:tcW w:type="pct" w:w="32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</w:tbl>
    <w:p>
      <w:pPr>
        <w:pStyle w:val="Heading1"/>
        <w:spacing w:after="140" w:before="28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四、主要提示方式与使用过程说明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说明各环节的提示方式（如自然语言提问、粘贴题目与数据背景后追问、代码报错反馈修正等）与使用过程；如有典型交互，可按下表格式摘录若干例。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230"/>
        <w:gridCol w:w="2988"/>
        <w:gridCol w:w="2988"/>
        <w:gridCol w:w="1582"/>
      </w:tblGrid>
      <w:tr>
        <w:trPr>
          <w:cantSplit/>
          <w:tblHeader/>
        </w:trPr>
        <w:tc>
          <w:tcPr>
            <w:tcW w:type="pct" w:w="7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时间/环节</w:t>
            </w:r>
          </w:p>
        </w:tc>
        <w:tc>
          <w:tcPr>
            <w:tcW w:type="pct" w:w="17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提示内容摘要</w:t>
            </w:r>
          </w:p>
        </w:tc>
        <w:tc>
          <w:tcPr>
            <w:tcW w:type="pct" w:w="17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AI输出摘要</w:t>
            </w:r>
          </w:p>
        </w:tc>
        <w:tc>
          <w:tcPr>
            <w:tcW w:type="pct" w:w="9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后续处理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【示例：问题一建模】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【示例：粘贴题目约束条件，请求线性规划的决策变量划分建议】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【示例：给出三类变量划分思路与理由】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【示例：仅参考】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17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</w:tbl>
    <w:p>
      <w:pPr>
        <w:pStyle w:val="Heading1"/>
        <w:spacing w:after="140" w:before="28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五、对AI输出的采纳、人工修改和核验情况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逐项说明对AI输出内容的处理方式与核验过程（语言润色除外）。采纳方式从“直接采用 / 修改后采用 / 仅供参考 / 弃用”中选择填写；核验应说明方法（如与题目条件对照、代码实际运行验证、结果数值抽查等）。核心建模与分析工作须由参赛队主导完成，未经人工审查与核实的AI生成内容不得直接作为核心成果提交。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85"/>
        <w:gridCol w:w="1406"/>
        <w:gridCol w:w="5097"/>
      </w:tblGrid>
      <w:tr>
        <w:trPr>
          <w:cantSplit/>
          <w:tblHeader/>
        </w:trPr>
        <w:tc>
          <w:tcPr>
            <w:tcW w:type="pct" w:w="13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AI输出内容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采纳方式</w:t>
            </w:r>
          </w:p>
        </w:tc>
        <w:tc>
          <w:tcPr>
            <w:tcW w:type="pct" w:w="2900"/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人工修改与核验说明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【示例：AI生成的数据清洗脚本】</w:t>
            </w:r>
          </w:p>
        </w:tc>
        <w:tc>
          <w:tcPr>
            <w:tcW w:type="pct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【示例：修改后采用】</w:t>
            </w:r>
          </w:p>
        </w:tc>
        <w:tc>
          <w:tcPr>
            <w:tcW w:type="pct" w:w="2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【示例：修正了插值口径；在干净环境重新运行验证，并抽查行数与数值范围】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2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8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  <w:tc>
          <w:tcPr>
            <w:tcW w:type="pct" w:w="29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288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【请填写】</w:t>
            </w:r>
          </w:p>
        </w:tc>
      </w:tr>
    </w:tbl>
    <w:p>
      <w:pPr>
        <w:spacing w:after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本报告所述内容真实、准确，已对AI参与的内容逐项进行人工审查与核实，核心建模与分析由本参赛队主导完成。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2026-10-25T03:30:31.616Z</dcterms:created>
  <dcterms:modified xsi:type="dcterms:W3CDTF">2026-10-25T03:30:31.617Z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