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1497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校园碳普惠激励平台碳积分与激励机制设计说明书（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目前</w:t>
      </w:r>
      <w:r>
        <w:rPr>
          <w:rFonts w:ascii="Arial" w:hAnsi="Arial" w:eastAsia="等线" w:cs="Arial"/>
          <w:b/>
          <w:sz w:val="52"/>
        </w:rPr>
        <w:t>定稿版）</w:t>
      </w:r>
    </w:p>
    <w:p w14:paraId="1C3CC0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文档基本信息</w:t>
      </w:r>
    </w:p>
    <w:p w14:paraId="37862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文档角色：项目负责人（机制设计）</w:t>
      </w:r>
    </w:p>
    <w:p w14:paraId="286120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适用对象：开发团队成员、数据分析成员、文档撰写成员</w:t>
      </w:r>
    </w:p>
    <w:p w14:paraId="6BB3F6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更新记录：无（首次定稿）</w:t>
      </w:r>
    </w:p>
    <w:p w14:paraId="654F10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引言</w:t>
      </w:r>
    </w:p>
    <w:p w14:paraId="5EA226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响应国家“双碳”战略，落实校园绿色低碳发展理念，搭建校园碳普惠激励平台，引导师生形成可持续的低碳生活方式，特制定本机制设计说明书。本文档明确了平台碳积分生成、激励约束、使用兑换等核心逻辑，是项目开发、数据分析、文档编制等工作的唯一核心依据。所有组员必须严格遵循本说明书中的定义、规则与执行要求，确保项目核心机制的一致性与可实现性。本说明书内容已完成定稿，仅允许在执行过程中对具体参数进行微调，核心逻辑不得擅自修改或推翻。</w:t>
      </w:r>
    </w:p>
    <w:p w14:paraId="4DDD492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一、机制设计的总体目标与边界</w:t>
      </w:r>
      <w:bookmarkEnd w:id="0"/>
    </w:p>
    <w:p w14:paraId="6EE8D2C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设计目标</w:t>
      </w:r>
      <w:bookmarkEnd w:id="1"/>
    </w:p>
    <w:p w14:paraId="204C5A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机制的核心定位并非精确核算个体碳排放量（受校园场景数据获取、核算标准等因素限制，精确核算不具备可落地性），而是通过科学、合理、易懂且可解释的激励规则，引导校园个体（学生、教职工）主动形成低能耗、可持续的日常生活行为模式，推动校园低碳文化建设。</w:t>
      </w:r>
    </w:p>
    <w:p w14:paraId="4C7CF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为实现核心定位，设定三大具体目标，各目标相辅相成、层层递进：</w:t>
      </w:r>
    </w:p>
    <w:p w14:paraId="5E40622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认知引导目标：让用户清晰“知道怎么做可以更低碳”，通过明确的行为场景和积分规则，建立低碳行为与正向反馈的直接关联，降低用户认知成本。</w:t>
      </w:r>
    </w:p>
    <w:p w14:paraId="1979916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持续参与目标：让用户“愿意持续参与”，通过分级激励、即时反馈、集体荣誉等多元方式，提升用户参与粘性，避免短期参与后流失。</w:t>
      </w:r>
    </w:p>
    <w:p w14:paraId="35CAA72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激励长效目标：让激励在一段时间内不过早失效，通过自适应调整机制，应对用户激励疲劳、行为策略化等问题，保障机制长期有效性。</w:t>
      </w:r>
    </w:p>
    <w:p w14:paraId="183D041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明确机制边界（必须统一口径）</w:t>
      </w:r>
      <w:bookmarkEnd w:id="2"/>
    </w:p>
    <w:p w14:paraId="7E35BF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为避免项目推进过程中出现认知偏差，尤其是应对评委质询时保持统一表述，特明确以下核心边界定义，所有组员在工作中必须严格遵循，不得自行解读或引入新说法：</w:t>
      </w:r>
    </w:p>
    <w:p w14:paraId="4B4A9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碳积分 ≠ 碳排放量 ≠ 货币 ≠ 碳交易凭证</w:t>
      </w:r>
    </w:p>
    <w:p w14:paraId="20EA8C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碳积分在本项目中的唯一定义是：</w:t>
      </w:r>
      <w:r>
        <w:rPr>
          <w:rFonts w:ascii="Arial" w:hAnsi="Arial" w:eastAsia="等线" w:cs="Arial"/>
          <w:sz w:val="22"/>
          <w:highlight w:val="yellow"/>
        </w:rPr>
        <w:t>对用户低碳行为相对变化的激励性量化指标</w:t>
      </w:r>
      <w:r>
        <w:rPr>
          <w:rFonts w:ascii="Arial" w:hAnsi="Arial" w:eastAsia="等线" w:cs="Arial"/>
          <w:sz w:val="22"/>
        </w:rPr>
        <w:t>。该定义需贯穿所有项目文档、开发逻辑、数据分析报告及对外沟通场景，严禁出现“碳积分等同于碳减排量”“碳积分可折算货币”等误导性表述。</w:t>
      </w:r>
    </w:p>
    <w:p w14:paraId="55C44ABE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二、碳积分生成机制（项目最核心部分）</w:t>
      </w:r>
      <w:bookmarkEnd w:id="3"/>
    </w:p>
    <w:p w14:paraId="19BCBC2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2.1 基本思路：</w:t>
      </w:r>
      <w:r>
        <w:rPr>
          <w:rFonts w:ascii="Arial" w:hAnsi="Arial" w:eastAsia="等线" w:cs="Arial"/>
          <w:b/>
          <w:sz w:val="32"/>
          <w:highlight w:val="yellow"/>
        </w:rPr>
        <w:t>只比较“变化”</w:t>
      </w:r>
      <w:r>
        <w:rPr>
          <w:rFonts w:ascii="Arial" w:hAnsi="Arial" w:eastAsia="等线" w:cs="Arial"/>
          <w:b/>
          <w:sz w:val="32"/>
        </w:rPr>
        <w:t>，不比较“绝对值”</w:t>
      </w:r>
      <w:bookmarkEnd w:id="4"/>
    </w:p>
    <w:p w14:paraId="6D3DA6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机制核心逻辑区别于传统碳核算模式，不聚焦于用户个体低碳行为的绝对数值（如用电量多少、步行里程长短），而是以用户自身历史行为或同类群体平均行为为基准，重点关注用户行为的“相对改善变化”。这一思路既降低了数据采集与核算的难度（无需精准碳核算模型），又能更公平地激励每一位用户（无论初始行为水平高低，只要有改善即可获得激励）。</w:t>
      </w:r>
    </w:p>
    <w:p w14:paraId="5363ED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平台核心关注点：你</w:t>
      </w:r>
      <w:r>
        <w:rPr>
          <w:rFonts w:ascii="Arial" w:hAnsi="Arial" w:eastAsia="等线" w:cs="Arial"/>
          <w:sz w:val="22"/>
          <w:highlight w:val="yellow"/>
        </w:rPr>
        <w:t>是否比“基准状态”更低碳（即行为是否有正向改善）</w:t>
      </w:r>
      <w:r>
        <w:rPr>
          <w:rFonts w:ascii="Arial" w:hAnsi="Arial" w:eastAsia="等线" w:cs="Arial"/>
          <w:sz w:val="22"/>
        </w:rPr>
        <w:t>，而非你本身的低碳行为绝对值有多高。</w:t>
      </w:r>
    </w:p>
    <w:p w14:paraId="7072398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2.2 行为场景限定（防止钻空子）</w:t>
      </w:r>
      <w:bookmarkEnd w:id="5"/>
    </w:p>
    <w:p w14:paraId="57FB26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避免用户通过非真实低碳行为（如场景转移、刷数据等）获取积分，本项目严格限定积分核算的行为场景，仅针对个人可自主控制、可数据化追踪的生活场景，具体范围如下（超出以下场景的行为均不计入积分）：</w:t>
      </w:r>
    </w:p>
    <w:p w14:paraId="2555587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核心场景：宿舍用电行为（</w:t>
      </w:r>
      <w:r>
        <w:rPr>
          <w:rFonts w:ascii="Arial" w:hAnsi="Arial" w:eastAsia="等线" w:cs="Arial"/>
          <w:sz w:val="22"/>
          <w:highlight w:val="yellow"/>
        </w:rPr>
        <w:t>用户可自主控制用电习惯，数据可通过校园用电系统采集</w:t>
      </w:r>
      <w:r>
        <w:rPr>
          <w:rFonts w:ascii="Arial" w:hAnsi="Arial" w:eastAsia="等线" w:cs="Arial"/>
          <w:sz w:val="22"/>
        </w:rPr>
        <w:t>，具备可追溯性）。</w:t>
      </w:r>
    </w:p>
    <w:p w14:paraId="6A72BD8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辅助场景1：绿色出行/步行（</w:t>
      </w:r>
      <w:r>
        <w:rPr>
          <w:rFonts w:ascii="Arial" w:hAnsi="Arial" w:eastAsia="等线" w:cs="Arial"/>
          <w:sz w:val="22"/>
          <w:highlight w:val="yellow"/>
        </w:rPr>
        <w:t>用户日常通勤、出行选择，数据可通过校园打卡、运动APP对接</w:t>
      </w:r>
      <w:r>
        <w:rPr>
          <w:rFonts w:ascii="Arial" w:hAnsi="Arial" w:eastAsia="等线" w:cs="Arial"/>
          <w:sz w:val="22"/>
        </w:rPr>
        <w:t>等方式采集）。</w:t>
      </w:r>
    </w:p>
    <w:p w14:paraId="4F10FFB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辅助场景2：低碳任务参与（</w:t>
      </w:r>
      <w:r>
        <w:rPr>
          <w:rFonts w:ascii="Arial" w:hAnsi="Arial" w:eastAsia="等线" w:cs="Arial"/>
          <w:sz w:val="22"/>
          <w:highlight w:val="yellow"/>
        </w:rPr>
        <w:t>用户主动参与平台发起的低碳相关任务</w:t>
      </w:r>
      <w:r>
        <w:rPr>
          <w:rFonts w:ascii="Arial" w:hAnsi="Arial" w:eastAsia="等线" w:cs="Arial"/>
          <w:sz w:val="22"/>
        </w:rPr>
        <w:t>，数据可通过平台内部记录追踪）。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E472E0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90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核心约束规则：1. 不跨场景累加积分（即</w:t>
            </w:r>
            <w:r>
              <w:rPr>
                <w:rFonts w:ascii="Arial" w:hAnsi="Arial" w:eastAsia="等线" w:cs="Arial"/>
                <w:sz w:val="22"/>
                <w:highlight w:val="yellow"/>
              </w:rPr>
              <w:t>不同场景积分独立核算后，按权重合并</w:t>
            </w:r>
            <w:r>
              <w:rPr>
                <w:rFonts w:ascii="Arial" w:hAnsi="Arial" w:eastAsia="等线" w:cs="Arial"/>
                <w:sz w:val="22"/>
              </w:rPr>
              <w:t>，而非简单叠加）；2. 教学楼、图书馆、食堂等公共区域用电不计入个人积分（此类区域用电由学校统一管理，个人无法自主控制，且难以区分个人贡献）。</w:t>
            </w:r>
          </w:p>
        </w:tc>
      </w:tr>
    </w:tbl>
    <w:p w14:paraId="5F4A051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2.3 宿舍用电积分生成逻辑（核心）</w:t>
      </w:r>
      <w:bookmarkEnd w:id="6"/>
    </w:p>
    <w:p w14:paraId="02CDA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宿舍用电是积分生成的核心场景，其积分生成逻辑需严格遵循“基准设定→相对变化计算→行为分级”三步流程，具体规则如下：</w:t>
      </w:r>
    </w:p>
    <w:p w14:paraId="4ED7333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（1）基准设定</w:t>
      </w:r>
      <w:bookmarkEnd w:id="7"/>
    </w:p>
    <w:p w14:paraId="65CD4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为保证基准的公平性与针对性，为每位用户建立个性化基准值，具体设定规则：</w:t>
      </w:r>
    </w:p>
    <w:p w14:paraId="2AFDE09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有历史数据</w:t>
      </w:r>
      <w:r>
        <w:rPr>
          <w:rFonts w:ascii="Arial" w:hAnsi="Arial" w:eastAsia="等线" w:cs="Arial"/>
          <w:sz w:val="22"/>
        </w:rPr>
        <w:t>：若用户在平台上线前/使用周期内有可追溯的</w:t>
      </w:r>
      <w:r>
        <w:rPr>
          <w:rFonts w:ascii="Arial" w:hAnsi="Arial" w:eastAsia="等线" w:cs="Arial"/>
          <w:sz w:val="22"/>
          <w:highlight w:val="yellow"/>
        </w:rPr>
        <w:t>宿舍用电数据</w:t>
      </w:r>
      <w:r>
        <w:rPr>
          <w:rFonts w:ascii="Arial" w:hAnsi="Arial" w:eastAsia="等线" w:cs="Arial"/>
          <w:sz w:val="22"/>
        </w:rPr>
        <w:t>（建议取近30天日均用电量或自然月平均用电量），则以该历史平均用电量作为个人基准值。</w:t>
      </w:r>
    </w:p>
    <w:p w14:paraId="04C0CE36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u w:val="single"/>
        </w:rPr>
      </w:pPr>
      <w:r>
        <w:rPr>
          <w:rFonts w:ascii="Arial" w:hAnsi="Arial" w:eastAsia="等线" w:cs="Arial"/>
          <w:sz w:val="22"/>
          <w:highlight w:val="yellow"/>
        </w:rPr>
        <w:t>无历史数据</w:t>
      </w:r>
      <w:r>
        <w:rPr>
          <w:rFonts w:ascii="Arial" w:hAnsi="Arial" w:eastAsia="等线" w:cs="Arial"/>
          <w:sz w:val="22"/>
        </w:rPr>
        <w:t>：若用户为新用户（如新生）或无有效历史用电数据，则</w:t>
      </w:r>
      <w:r>
        <w:rPr>
          <w:rFonts w:ascii="Arial" w:hAnsi="Arial" w:eastAsia="等线" w:cs="Arial"/>
          <w:sz w:val="22"/>
          <w:highlight w:val="yellow"/>
        </w:rPr>
        <w:t>采用同宿舍（优先）或同楼层（次优先）同类用户的平均用电量作为临时基准值</w:t>
      </w:r>
      <w:r>
        <w:rPr>
          <w:rFonts w:ascii="Arial" w:hAnsi="Arial" w:eastAsia="等线" w:cs="Arial"/>
          <w:sz w:val="22"/>
        </w:rPr>
        <w:t>；</w:t>
      </w:r>
      <w:r>
        <w:rPr>
          <w:rFonts w:ascii="Arial" w:hAnsi="Arial" w:eastAsia="等线" w:cs="Arial"/>
          <w:sz w:val="22"/>
          <w:u w:val="single"/>
        </w:rPr>
        <w:t>待用户积累足够历史数据（如满14天）后，自动切换为个人历史平均用电量作为基准值。</w:t>
      </w:r>
    </w:p>
    <w:p w14:paraId="2B6BF7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基准值更新周期：</w:t>
      </w:r>
      <w:r>
        <w:rPr>
          <w:rFonts w:ascii="Arial" w:hAnsi="Arial" w:eastAsia="等线" w:cs="Arial"/>
          <w:sz w:val="22"/>
          <w:highlight w:val="yellow"/>
        </w:rPr>
        <w:t>每月更新一次</w:t>
      </w:r>
      <w:r>
        <w:rPr>
          <w:rFonts w:ascii="Arial" w:hAnsi="Arial" w:eastAsia="等线" w:cs="Arial"/>
          <w:sz w:val="22"/>
        </w:rPr>
        <w:t>，避免基准值长期不变导致激励失效，同时防止频繁更新影响用户预期。</w:t>
      </w:r>
    </w:p>
    <w:p w14:paraId="4C0FF6F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（2）相对变化计算</w:t>
      </w:r>
      <w:bookmarkEnd w:id="8"/>
    </w:p>
    <w:p w14:paraId="01F7F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积分核算周期：以自然周为基本核算周期（便于用户及时获取反馈），每月进行一次汇总统计。</w:t>
      </w:r>
    </w:p>
    <w:p w14:paraId="10A963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相对变化率计算公式：变化率 = （基准用电量 − 当前周期用电量） / 基准用电量 × 100%（结果保留1位小数，若当前周期用电量大于基准用电量，变化率为负值，即无积分）。</w:t>
      </w:r>
    </w:p>
    <w:p w14:paraId="161EB5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数据异常处理：</w:t>
      </w:r>
      <w:r>
        <w:rPr>
          <w:rFonts w:ascii="Arial" w:hAnsi="Arial" w:eastAsia="等线" w:cs="Arial"/>
          <w:sz w:val="22"/>
          <w:highlight w:val="yellow"/>
        </w:rPr>
        <w:t>若当前周期内出现用电数据异常（如宿舍无人居住但有少量待机用电、数据采集故障导致的缺失或异常值），则剔除异常数据，采用同周期同宿舍其他用户平均用电变化率替代</w:t>
      </w:r>
      <w:r>
        <w:rPr>
          <w:rFonts w:ascii="Arial" w:hAnsi="Arial" w:eastAsia="等线" w:cs="Arial"/>
          <w:sz w:val="22"/>
        </w:rPr>
        <w:t>，或顺延至下一周期核算。</w:t>
      </w:r>
    </w:p>
    <w:p w14:paraId="701547E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（3）行为分级机制（重点）</w:t>
      </w:r>
      <w:bookmarkEnd w:id="9"/>
    </w:p>
    <w:p w14:paraId="5A623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简化用户理解成本，同时避免“极端节能”（如过度节约用电影响正常生活）等不合理行为，不直接使用连续的变化率数值计算积分，而是采用分级激励模式，具体分级标准如下表所示（积分值为单周期固定积分，不叠加计算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7AD4E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38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用电变化情况（当前周期相对基准）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2D2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BB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单周期积分</w:t>
            </w:r>
          </w:p>
        </w:tc>
      </w:tr>
      <w:tr w14:paraId="42C8CC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81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无下降（变化率≤0%）或上升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6A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L0（基础等级）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84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027247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DA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下降5% – 10%（含5%，不含10%）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6C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L1（节能入门）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42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</w:tr>
      <w:tr w14:paraId="6F5C66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D4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下降10% – 20%（含10%，不含20%）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EB3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L2（节能进阶）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88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</w:tr>
      <w:tr w14:paraId="775E91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FB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下降20% 以上（含20%）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7B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L3（节能优秀）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A0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</w:tr>
    </w:tbl>
    <w:p w14:paraId="04E60C01"/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C1F558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F2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设计原则：1. 等级少、规则清晰（仅4个等级，用户可快速判断自身行为对应的积分，降低认知成本）；2. 梯度合理（积分随节能效果递增，但不设置过高积分，防止“极端节能”诱导不合理行为，保障用户正常生活需求）。</w:t>
            </w:r>
          </w:p>
        </w:tc>
      </w:tr>
    </w:tbl>
    <w:p w14:paraId="1C1B681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2.4 辅助行为积分（补充而非主导）</w:t>
      </w:r>
      <w:bookmarkEnd w:id="10"/>
    </w:p>
    <w:p w14:paraId="06553C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绿色出行/步行、低碳任务参与作为辅助场景，其积分仅用于补充核心场景积分，提升用户参与感，不主导积分生成（即辅助场景积分占比低于核心场景），具体规则如下：</w:t>
      </w:r>
    </w:p>
    <w:p w14:paraId="4EE415B7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（1）绿色出行 / 步行</w:t>
      </w:r>
      <w:bookmarkEnd w:id="11"/>
    </w:p>
    <w:p w14:paraId="36DB5A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为避免用户“刷步数”“虚假打卡”等投机行为，本场景采用“是否完成”的二元计分模式，不按里程、步数累计高积分，具体规则：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97D5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78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行为要求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DA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单周期积分</w:t>
            </w:r>
          </w:p>
        </w:tc>
      </w:tr>
      <w:tr w14:paraId="33C495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8F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当日完成</w:t>
            </w:r>
            <w:r>
              <w:rPr>
                <w:rFonts w:ascii="Arial" w:hAnsi="Arial" w:eastAsia="等线" w:cs="Arial"/>
                <w:sz w:val="22"/>
                <w:highlight w:val="yellow"/>
              </w:rPr>
              <w:t>绿色出行</w:t>
            </w:r>
            <w:r>
              <w:rPr>
                <w:rFonts w:ascii="Arial" w:hAnsi="Arial" w:eastAsia="等线" w:cs="Arial"/>
                <w:sz w:val="22"/>
              </w:rPr>
              <w:t>（如步行往返校园、骑行等）或达到指定</w:t>
            </w:r>
            <w:r>
              <w:rPr>
                <w:rFonts w:ascii="Arial" w:hAnsi="Arial" w:eastAsia="等线" w:cs="Arial"/>
                <w:sz w:val="22"/>
                <w:highlight w:val="yellow"/>
              </w:rPr>
              <w:t>步行阈值</w:t>
            </w:r>
            <w:r>
              <w:rPr>
                <w:rFonts w:ascii="Arial" w:hAnsi="Arial" w:eastAsia="等线" w:cs="Arial"/>
                <w:sz w:val="22"/>
              </w:rPr>
              <w:t>（建议每日8000步，可微调），并通过平台有效打卡验证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95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  <w:tr w14:paraId="5EE8BF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A2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未完成上述行为或打卡无效（如重复打卡、虚假定位）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25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</w:tbl>
    <w:p w14:paraId="75C59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约束规则：每日</w:t>
      </w:r>
      <w:r>
        <w:rPr>
          <w:rFonts w:ascii="Arial" w:hAnsi="Arial" w:eastAsia="等线" w:cs="Arial"/>
          <w:sz w:val="22"/>
          <w:highlight w:val="yellow"/>
        </w:rPr>
        <w:t>仅可获得一次积分，多次打卡不重复累计</w:t>
      </w:r>
      <w:r>
        <w:rPr>
          <w:rFonts w:ascii="Arial" w:hAnsi="Arial" w:eastAsia="等线" w:cs="Arial"/>
          <w:sz w:val="22"/>
        </w:rPr>
        <w:t>；平台将通过</w:t>
      </w:r>
      <w:r>
        <w:rPr>
          <w:rFonts w:ascii="Arial" w:hAnsi="Arial" w:eastAsia="等线" w:cs="Arial"/>
          <w:sz w:val="22"/>
          <w:highlight w:val="yellow"/>
        </w:rPr>
        <w:t>定位验证、打卡时间</w:t>
      </w:r>
      <w:r>
        <w:rPr>
          <w:rFonts w:ascii="Arial" w:hAnsi="Arial" w:eastAsia="等线" w:cs="Arial"/>
          <w:sz w:val="22"/>
        </w:rPr>
        <w:t>逻辑校验等方式，识别并剔除虚假打卡行为，此类行为不仅不计分，还将影响用户等级评定。</w:t>
      </w:r>
    </w:p>
    <w:p w14:paraId="75599C9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（2）低碳任务参与</w:t>
      </w:r>
      <w:bookmarkEnd w:id="12"/>
    </w:p>
    <w:p w14:paraId="0B118A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低碳任务旨在提升用户低碳认知，增强平台参与感，而非替代真实节能行为，任务类型及积分规则如下：</w:t>
      </w:r>
    </w:p>
    <w:p w14:paraId="02ADF6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常见任务类型：</w:t>
      </w:r>
      <w:r>
        <w:rPr>
          <w:rFonts w:ascii="Arial" w:hAnsi="Arial" w:eastAsia="等线" w:cs="Arial"/>
          <w:sz w:val="22"/>
          <w:highlight w:val="yellow"/>
        </w:rPr>
        <w:t>低碳知识答题</w:t>
      </w:r>
      <w:r>
        <w:rPr>
          <w:rFonts w:ascii="Arial" w:hAnsi="Arial" w:eastAsia="等线" w:cs="Arial"/>
          <w:sz w:val="22"/>
        </w:rPr>
        <w:t>（定期发布，题型为选择题、判断题，满分通过即可获得积分）、</w:t>
      </w:r>
      <w:r>
        <w:rPr>
          <w:rFonts w:ascii="Arial" w:hAnsi="Arial" w:eastAsia="等线" w:cs="Arial"/>
          <w:sz w:val="22"/>
          <w:highlight w:val="yellow"/>
        </w:rPr>
        <w:t>校园节能挑战赛（</w:t>
      </w:r>
      <w:r>
        <w:rPr>
          <w:rFonts w:ascii="Arial" w:hAnsi="Arial" w:eastAsia="等线" w:cs="Arial"/>
          <w:sz w:val="22"/>
        </w:rPr>
        <w:t>如“7天低碳生活挑战”，完成挑战任务即可得分）、</w:t>
      </w:r>
      <w:r>
        <w:rPr>
          <w:rFonts w:ascii="Arial" w:hAnsi="Arial" w:eastAsia="等线" w:cs="Arial"/>
          <w:sz w:val="22"/>
          <w:highlight w:val="yellow"/>
        </w:rPr>
        <w:t>低碳创意作品提交</w:t>
      </w:r>
      <w:r>
        <w:rPr>
          <w:rFonts w:ascii="Arial" w:hAnsi="Arial" w:eastAsia="等线" w:cs="Arial"/>
          <w:sz w:val="22"/>
        </w:rPr>
        <w:t>（如节能海报、低碳方案等，经审核通过后得分）等。</w:t>
      </w:r>
    </w:p>
    <w:p w14:paraId="3B88E9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积分规则：根据任务难度和耗时设定积分（一般为5-20分/次），同一任务仅可获得一次积分，不可重复参与得分；任务发布周期：每周至少发布1次基础任务，每月发布1次特色任务，保障用户参与频次。</w:t>
      </w:r>
    </w:p>
    <w:p w14:paraId="49B400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核心目的：通过任务参与，强化用户低碳意识，引导用户将认知转化为真实的低碳行为，而非单纯为获取积分而参与。</w:t>
      </w:r>
    </w:p>
    <w:p w14:paraId="4C87A317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三、行为组合约束机制（防投机设计）</w:t>
      </w:r>
      <w:bookmarkEnd w:id="13"/>
    </w:p>
    <w:p w14:paraId="6E62AA6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3.1 设计目的</w:t>
      </w:r>
      <w:bookmarkEnd w:id="14"/>
    </w:p>
    <w:p w14:paraId="7B7B05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机制核心目的是防止用户通过单一策略性行为（如刻意将宿舍用电转移至教学楼、图书馆等公共区域，仅靠刷绿色出行打卡或参与任务获取积分）获取高积分，确保积分能够真实反映用户的综合低碳行为改善，而非投机取巧的结果。通过行为组合约束，引导用户在多个场景下形成持续的低碳行为，而非单一维度的策略性参与。</w:t>
      </w:r>
    </w:p>
    <w:p w14:paraId="191E8671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3.2 行为权重结构（内部规则）</w:t>
      </w:r>
      <w:bookmarkEnd w:id="15"/>
    </w:p>
    <w:p w14:paraId="063CD0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为突出核心场景（宿舍用电）的主导地位，同时兼顾辅助场景的补充作用，设定行为维度权重结构，用户总积分由各场景积分按权重折算后相加得出，具体权重分配如下（权重固定，不随周期调整）：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40466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E6FFE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行为维度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596A5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权重占比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F7130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权重说明</w:t>
            </w:r>
          </w:p>
        </w:tc>
      </w:tr>
      <w:tr w14:paraId="29DB9F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09F5C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宿舍用电变化（核心场景）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337C7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60%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B90DC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主导积分生成，确保积分与核心低碳行为强关联</w:t>
            </w:r>
          </w:p>
        </w:tc>
      </w:tr>
      <w:tr w14:paraId="37C1FD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67C53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绿色出行（辅助场景1）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41E35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20%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73703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补充积分，引导用户出行场景低碳化</w:t>
            </w:r>
          </w:p>
        </w:tc>
      </w:tr>
      <w:tr w14:paraId="0B9315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0FD9B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任务参与（辅助场景2）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BB63F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20%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DFDC5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补充积分，强化用户低碳认知与参与感</w:t>
            </w:r>
          </w:p>
        </w:tc>
      </w:tr>
    </w:tbl>
    <w:p w14:paraId="1D16F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总积分计算公式：总积分 = 宿舍用电积分×60% + 绿色出行积分×20% + 任务参与积分×20%（单周期内计算，每月汇总）。</w:t>
      </w:r>
    </w:p>
    <w:p w14:paraId="1C248F00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3.3 激励上限约束（关键）</w:t>
      </w:r>
      <w:bookmarkEnd w:id="16"/>
    </w:p>
    <w:p w14:paraId="391166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为进一步约束单一维度策略性行为，设置“完整行为阈值”与积分封顶规则，具体要求：</w:t>
      </w:r>
    </w:p>
    <w:p w14:paraId="0BE8EBD1">
      <w:p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</w:rPr>
        <w:t>完整行为阈值：用户在一个自然月内，</w:t>
      </w:r>
      <w:r>
        <w:rPr>
          <w:rFonts w:ascii="Arial" w:hAnsi="Arial" w:eastAsia="等线" w:cs="Arial"/>
          <w:sz w:val="22"/>
          <w:highlight w:val="yellow"/>
        </w:rPr>
        <w:t>需至少在2个及以上行为维度（核心+任意1个辅助，或2个辅助）获得有效积分（即积分＞0），方可认定为“完整低碳行为参与者”，享受正常积分核算权限。</w:t>
      </w:r>
    </w:p>
    <w:p w14:paraId="239266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积分封顶规则：若用户未达到“完整行为阈值”（即仅</w:t>
      </w:r>
      <w:r>
        <w:rPr>
          <w:rFonts w:ascii="Arial" w:hAnsi="Arial" w:eastAsia="等线" w:cs="Arial"/>
          <w:sz w:val="22"/>
          <w:highlight w:val="yellow"/>
        </w:rPr>
        <w:t>在单一行为维度长期获取积分，其他维度长期为0），则其当月总积分上限自动降低至正常上限的50%；若连续2个月未达到阈值，积分上限降至30%；连续3个月及以上未达到阈值，暂停积分获取权</w:t>
      </w:r>
      <w:r>
        <w:rPr>
          <w:rFonts w:ascii="Arial" w:hAnsi="Arial" w:eastAsia="等线" w:cs="Arial"/>
          <w:sz w:val="22"/>
        </w:rPr>
        <w:t>限，需完成一次低碳知识答题任务后方可恢复。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AE7CAF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8C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系统实现建议：开发成员需在系统中预设“完整行为阈值”判定逻辑，自动识别用户行为维度参与情况，实时计算积分上限；同时在用户中心展示阈值完成进度，及时提醒用户补充多元低碳行为。</w:t>
            </w:r>
          </w:p>
        </w:tc>
      </w:tr>
    </w:tbl>
    <w:p w14:paraId="179A355A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四、自适应激励机制（创新核心）</w:t>
      </w:r>
      <w:bookmarkEnd w:id="17"/>
    </w:p>
    <w:p w14:paraId="5E16C630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4.1 为什么需要动态激励</w:t>
      </w:r>
      <w:bookmarkEnd w:id="18"/>
    </w:p>
    <w:p w14:paraId="66A7D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传统静态积分规则在长期运行中易出现两大问题，影响激励效果的持续性：</w:t>
      </w:r>
    </w:p>
    <w:p w14:paraId="0E0BE06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激励疲劳：用户长期面对固定积分规则，新鲜感消退，参与积极性逐渐下降（如初始阶段为获取积分主动节能，后期习惯后无额外动力）。</w:t>
      </w:r>
    </w:p>
    <w:p w14:paraId="221DE79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行为策略化：用户熟悉静态规则后，会形成固定行为模式（如仅完成最低节能目标获取基础积分），难以推动低碳行为进一步改善。</w:t>
      </w:r>
    </w:p>
    <w:p w14:paraId="25FCA5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基于此，本项目引入自适应激励机制，通过动态调整积分规则，保持激励的边际有效性，引导用户持续优化低碳行为。</w:t>
      </w:r>
    </w:p>
    <w:p w14:paraId="0D437A7B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4.2 自适应调整逻辑（不复杂）</w:t>
      </w:r>
      <w:bookmarkEnd w:id="19"/>
    </w:p>
    <w:p w14:paraId="152529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自适应调整的核心原则：小幅调整、长期稳定，避免频繁变动影响用户预期。具体逻辑如下：</w:t>
      </w:r>
    </w:p>
    <w:p w14:paraId="40E4C2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调整评估周期：</w:t>
      </w:r>
      <w:r>
        <w:rPr>
          <w:rFonts w:ascii="Arial" w:hAnsi="Arial" w:eastAsia="等线" w:cs="Arial"/>
          <w:sz w:val="22"/>
          <w:highlight w:val="yellow"/>
        </w:rPr>
        <w:t>每季度（3个月）</w:t>
      </w:r>
      <w:r>
        <w:rPr>
          <w:rFonts w:ascii="Arial" w:hAnsi="Arial" w:eastAsia="等线" w:cs="Arial"/>
          <w:sz w:val="22"/>
        </w:rPr>
        <w:t>为一个评估周期，系统自动汇总本周期内平台整体运营数据，进行调整决策。</w:t>
      </w:r>
    </w:p>
    <w:p w14:paraId="27C127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核心评估指标：</w:t>
      </w:r>
    </w:p>
    <w:p w14:paraId="25E3510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行为参与率：平台活跃用户数/总注册用户数（活跃用户定义：每月至少完成1次有效低碳行为并获得积分）。</w:t>
      </w:r>
    </w:p>
    <w:p w14:paraId="50B4A31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平均节能变化趋势：所有用户核心场景（宿舍用电）平均变化率的环比变化（即本周期平均变化率与上一周期的差值）。</w:t>
      </w:r>
    </w:p>
    <w:p w14:paraId="52BF80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调整规则（仅针对各场景单周期基础积分，权重不变）：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5102A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A678F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评估结果（参与率+效果趋势）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5F006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积分调整方向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303A4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调整幅度</w:t>
            </w:r>
          </w:p>
        </w:tc>
      </w:tr>
      <w:tr w14:paraId="36E989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855F1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参与率高（＞80%）但效果下降（平均变化率环比降低≥3%）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62493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积分下调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F36A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单场景积分下调5%-10%</w:t>
            </w:r>
          </w:p>
        </w:tc>
      </w:tr>
      <w:tr w14:paraId="599BCA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E7D4E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参与率低（＜50%）但效果明显（平均变化率环比提升≥3%）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0A9A1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积分上调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E4AB0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单场景积分上调5%-10%</w:t>
            </w:r>
          </w:p>
        </w:tc>
      </w:tr>
      <w:tr w14:paraId="491FF5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F3C94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参与率（50%-80%）且效果稳定（平均变化率环比波动＜3%）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54A0E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不调整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82EE1">
            <w:pPr>
              <w:spacing w:before="120" w:after="120" w:line="288" w:lineRule="auto"/>
              <w:ind w:left="0"/>
              <w:jc w:val="left"/>
              <w:rPr>
                <w:color w:val="0000FF"/>
              </w:rPr>
            </w:pPr>
            <w:r>
              <w:rPr>
                <w:rFonts w:ascii="Arial" w:hAnsi="Arial" w:eastAsia="等线" w:cs="Arial"/>
                <w:color w:val="0000FF"/>
                <w:sz w:val="22"/>
              </w:rPr>
              <w:t>维持现有积分标准</w:t>
            </w:r>
          </w:p>
        </w:tc>
      </w:tr>
    </w:tbl>
    <w:p w14:paraId="71F4AA2F"/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5C9159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FD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核心约束：调整幅度严格控制在5%-10%以内，周期为季度，避免频繁变动导致用户困惑；调整后需在平台公告栏公示，明确调整原因与新积分标准，保障透明度。</w:t>
            </w:r>
          </w:p>
        </w:tc>
      </w:tr>
    </w:tbl>
    <w:p w14:paraId="6B917B51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4.3 机制定位说明（写给评委）</w:t>
      </w:r>
      <w:bookmarkEnd w:id="20"/>
    </w:p>
    <w:p w14:paraId="4D37FE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本自适应激励机制的核心定位是“保持激励边际有效性”，而非追求碳减排效果的最优解。其创新点在于：</w:t>
      </w:r>
    </w:p>
    <w:p w14:paraId="795211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兼顾可实现性与科学性：不依赖复杂的算法模型，仅通过核心数据（参与率、效果趋势）进行简单评估与调整，开发难度低、可落地性强；同时基于用户行为数据动态优化，比静态规则更贴合实际需求。</w:t>
      </w:r>
    </w:p>
    <w:p w14:paraId="795FF1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平衡激励效果与用户预期：小幅、长期的调整模式，既避免了激励失效，又不会因规则突变影响用户参与信心，保障机制的长期稳定运行。</w:t>
      </w:r>
    </w:p>
    <w:p w14:paraId="63B45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简言之，自适应机制是本项目的“保鲜剂”，其核心价值在于让激励规则能够适配用户行为变化，持续引导用户形成低碳生活习惯，而非追求短期的高减排数据。</w:t>
      </w:r>
    </w:p>
    <w:p w14:paraId="135B8F04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五、积分使用与奖励机制（非货币化）</w:t>
      </w:r>
      <w:bookmarkEnd w:id="21"/>
    </w:p>
    <w:p w14:paraId="61D6D539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5.1 基本原则</w:t>
      </w:r>
      <w:bookmarkEnd w:id="22"/>
    </w:p>
    <w:p w14:paraId="00119E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为严格遵守碳积分的定义边界，避免积分货币化、商业化误导，本项目积分使用与奖励机制严格遵循以下三大原则，所有奖励均为非货币化激励，不得突破原则设定：</w:t>
      </w:r>
    </w:p>
    <w:p w14:paraId="1A655F50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  <w:highlight w:val="yellow"/>
        </w:rPr>
        <w:t>不可提现：积分严禁兑换现金，不得与任何货币形式挂钩（包括校园一卡通余额、微信/支付宝余额等）。</w:t>
      </w:r>
    </w:p>
    <w:p w14:paraId="3C20702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  <w:highlight w:val="yellow"/>
        </w:rPr>
        <w:t>不可转让：积分仅归用户个人所有，不得转让、赠与、交易给其他用户，账号注销后积分自动清零。</w:t>
      </w:r>
    </w:p>
    <w:p w14:paraId="221E5498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  <w:highlight w:val="yellow"/>
        </w:rPr>
        <w:t>不等价货币：积分不具备货币价值，不得用于等价兑换商品（如校园超市商品、生活用品等），仅可兑换象征性奖励。</w:t>
      </w:r>
    </w:p>
    <w:p w14:paraId="2C4537D0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5.2 奖励结构（三层）</w:t>
      </w:r>
      <w:bookmarkEnd w:id="23"/>
    </w:p>
    <w:p w14:paraId="7D46B7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构建“即时反馈-象征性兑换-集体荣誉”三层奖励结构，其中即时反馈为核心，集体荣誉为强激励，层层递进提升用户参与动力，具体内容如下：</w:t>
      </w:r>
    </w:p>
    <w:p w14:paraId="4E500273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第一层：即时反馈（核心）</w:t>
      </w:r>
      <w:bookmarkEnd w:id="24"/>
    </w:p>
    <w:p w14:paraId="18F70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核心目的：通过实时反馈，强化用户低碳行为与正向激励的关联，提升参与即时感。具体奖励形式：</w:t>
      </w:r>
    </w:p>
    <w:p w14:paraId="18E2385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排行榜</w:t>
      </w:r>
      <w:r>
        <w:rPr>
          <w:rFonts w:ascii="Arial" w:hAnsi="Arial" w:eastAsia="等线" w:cs="Arial"/>
          <w:sz w:val="22"/>
        </w:rPr>
        <w:t>：每日更新个人积分排行榜（展示Top20）、宿舍积分排行榜（展示Top10），每周更新班级积分排行榜（展示Top5），排行榜仅展示积分排名，不公开具体积分数值。</w:t>
      </w:r>
    </w:p>
    <w:p w14:paraId="00A258F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等级称号</w:t>
      </w:r>
      <w:r>
        <w:rPr>
          <w:rFonts w:ascii="Arial" w:hAnsi="Arial" w:eastAsia="等线" w:cs="Arial"/>
          <w:sz w:val="22"/>
        </w:rPr>
        <w:t>：根据用户累计积分设定等级称号（如青铜低碳者、白银低碳者、黄金低碳者、钻石低碳者），等级随积分累计自动升级，称号将在用户中心展示。</w:t>
      </w:r>
    </w:p>
    <w:p w14:paraId="29704DC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勋章：设置多元化勋章</w:t>
      </w:r>
      <w:r>
        <w:rPr>
          <w:rFonts w:ascii="Arial" w:hAnsi="Arial" w:eastAsia="等线" w:cs="Arial"/>
          <w:sz w:val="22"/>
        </w:rPr>
        <w:t>（如节能先锋勋章、绿色出行达人勋章、任务全能勋章等），用户完成特定行为目标即可获得（如连续4周获得L2及以上用电等级可获节能先锋勋章），勋章可在个人主页展示。</w:t>
      </w:r>
    </w:p>
    <w:p w14:paraId="6E656CB3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第二层：象征性兑换</w:t>
      </w:r>
      <w:bookmarkEnd w:id="25"/>
    </w:p>
    <w:p w14:paraId="5B053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核心目的：通过积分兑换，给予用户阶段性回报，增强积分价值感（非货币价值）。具体兑换内容：</w:t>
      </w:r>
    </w:p>
    <w:p w14:paraId="56BB716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虚拟奖励：校园文创虚拟形象皮肤、平台专属头像框、课程表模板</w:t>
      </w:r>
      <w:r>
        <w:rPr>
          <w:rFonts w:ascii="Arial" w:hAnsi="Arial" w:eastAsia="等线" w:cs="Arial"/>
          <w:sz w:val="22"/>
        </w:rPr>
        <w:t>等（无实际物质价值，仅为个性化展示）。</w:t>
      </w:r>
    </w:p>
    <w:p w14:paraId="76D3662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校园荣誉展示：积分累计达到一定标准，可申请在校园公告栏、官方公众号进行个人/宿舍低碳事迹展示</w:t>
      </w:r>
      <w:r>
        <w:rPr>
          <w:rFonts w:ascii="Arial" w:hAnsi="Arial" w:eastAsia="等线" w:cs="Arial"/>
          <w:sz w:val="22"/>
        </w:rPr>
        <w:t>（需用户自主申请，审核通过后展示）。</w:t>
      </w:r>
    </w:p>
    <w:p w14:paraId="04F677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highlight w:val="yellow"/>
        </w:rPr>
        <w:t>兑换规则：兑换需消耗一定积分</w:t>
      </w:r>
      <w:r>
        <w:rPr>
          <w:rFonts w:ascii="Arial" w:hAnsi="Arial" w:eastAsia="等线" w:cs="Arial"/>
          <w:sz w:val="22"/>
        </w:rPr>
        <w:t>（积分消耗标准根据奖励类型设定，如虚拟皮肤需500积分，荣誉展示需1000积分），兑换后积分自动扣除，奖励不可退回。</w:t>
      </w:r>
    </w:p>
    <w:p w14:paraId="34B569CE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第三层：集体荣誉（强激励）</w:t>
      </w:r>
      <w:bookmarkEnd w:id="26"/>
    </w:p>
    <w:p w14:paraId="536B94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核心目的：利用集体荣誉感，引导用户形成群体低碳行为氛围，强化激励效果（集体荣誉对学生群体具有更强的心理激励作用）。具体荣誉类型：</w:t>
      </w:r>
    </w:p>
    <w:p w14:paraId="688CD0E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低碳宿舍：每月评选一次，根据宿舍整体积分（宿舍内所有用户积分平均值）、用电节能效果等指标评选，获评宿舍将获得校园颁发的荣誉证书、宿舍门牌标识，并在校园内公示。</w:t>
      </w:r>
    </w:p>
    <w:p w14:paraId="055179B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碳班级：每季度评选一次，根据班级内所有用户积分总和、参与率、集体低碳任务完成情况等指标评选，获评班级将获得校园文明班级加分、集体荣誉锦旗，并可申请开展低碳主题活动经费支持（非货币化支持）。</w:t>
      </w:r>
    </w:p>
    <w:p w14:paraId="4B94DAAE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六、机制风险与边界说明</w:t>
      </w:r>
      <w:bookmarkEnd w:id="27"/>
    </w:p>
    <w:p w14:paraId="373AF044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6.1 已识别风险</w:t>
      </w:r>
      <w:bookmarkEnd w:id="28"/>
    </w:p>
    <w:p w14:paraId="48E5E9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结合校园场景特点与机制设计逻辑，本项目已识别三大核心风险，需在项目推进过程中重点关注：</w:t>
      </w:r>
    </w:p>
    <w:p w14:paraId="750530AF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（1）场景转移行为</w:t>
      </w:r>
      <w:bookmarkEnd w:id="29"/>
    </w:p>
    <w:p w14:paraId="7E4D70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风险描述：用户为获取宿舍用电积分，刻意将用电行为转移至教学楼、图书馆等公共区域（如在公共区域充电、使用电器），导致校园整体用电量未降低，仅实现场景转移，违背项目核心目标。</w:t>
      </w:r>
    </w:p>
    <w:p w14:paraId="14EBBE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应对：通过行为组合约束机制（完整行为阈值、积分封顶）降低此类行为的积分收益；同时联合学校后勤部门，加强公共区域用电管理，张贴低碳提示，引导用户在所有场景践行低碳行为（非仅为获取积分）。</w:t>
      </w:r>
    </w:p>
    <w:p w14:paraId="1D1A325D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（2）激励依赖</w:t>
      </w:r>
      <w:bookmarkEnd w:id="30"/>
    </w:p>
    <w:p w14:paraId="54340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风险描述：部分用户仅因积分激励而参与低碳行为，若激励机制调整或积分价值感下降，将停止低碳行为，难以形成长期自主的低碳生活习惯。</w:t>
      </w:r>
    </w:p>
    <w:p w14:paraId="69A9F5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风险应对：强化集体荣誉激励与低碳认知引导（通过任务参与、事迹展示等方式），弱化积分的核心驱动作用；逐步引导用户从“为积分节能”向“为环保节能”转变，培养自主低碳意识。</w:t>
      </w:r>
    </w:p>
    <w:p w14:paraId="5E1A28B4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（3）数据规模有限</w:t>
      </w:r>
      <w:bookmarkEnd w:id="31"/>
    </w:p>
    <w:p w14:paraId="42B004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风险描述：校园场景下，用户用电数据、出行数据等采集范围有限（如部分宿舍用电数据无法精准到户、校外出行数据难以追踪），可能导致积分核算存在偏差，影响机制公平性。</w:t>
      </w:r>
    </w:p>
    <w:p w14:paraId="73C90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应对：采用“相对变化”核心逻辑，降低绝对数据精度对积分核算的影响；对于数据缺失或偏差的情况，采用同类群体平均值替代、顺延核算周期等方式处理；同时在项目试点阶段，优先选择数据采集条件成熟的宿舍/班级，逐步扩大覆盖范围。</w:t>
      </w:r>
    </w:p>
    <w:p w14:paraId="644BDBEA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6.2 项目立场</w:t>
      </w:r>
      <w:bookmarkEnd w:id="32"/>
    </w:p>
    <w:p w14:paraId="1BF30D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本项目的核心目标是引导校园个体形成可持续的低碳生活方式，而非追求“零风险”“绝对公平”或“最优碳减排效果”。基于此，项目立场明确：</w:t>
      </w:r>
    </w:p>
    <w:p w14:paraId="76A083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通过机制约束（行为组合、积分封顶、自适应调整等）降低策略性行为（如场景转移、刷积分）的收益，引导用户践行真实低碳行为，而非试图完全消除策略性行为的存在。项目承认，在校园场景下，策略性行为难以完全规避，但通过科学的机制设计，可将其影响降至最低，保障项目核心目标的实现。同时，项目不追求精确的碳排放量核算，不承诺通过平台实现特定的碳减排指标，而是聚焦于行为引导与习惯培养，这是本项目的核心价值所在。</w:t>
      </w:r>
    </w:p>
    <w:p w14:paraId="1E7ED38D">
      <w:pPr>
        <w:spacing w:before="380" w:after="140" w:line="288" w:lineRule="auto"/>
        <w:ind w:left="0"/>
        <w:jc w:val="left"/>
        <w:outlineLvl w:val="0"/>
      </w:pPr>
      <w:bookmarkStart w:id="33" w:name="heading_33"/>
      <w:r>
        <w:rPr>
          <w:rFonts w:ascii="Arial" w:hAnsi="Arial" w:eastAsia="等线" w:cs="Arial"/>
          <w:b/>
          <w:sz w:val="36"/>
        </w:rPr>
        <w:t>七、机制总结</w:t>
      </w:r>
      <w:bookmarkEnd w:id="33"/>
    </w:p>
    <w:p w14:paraId="5A7058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构建了一套以相对变化为核心、以行为分级为基础、以动态激励为特色的校园碳普惠激励机制，核心逻辑清晰、可实现性强，同时兼顾科学性与行为引导效果。机制通过明确行为场景边界、设置行为组合约束、引入自适应调整模式，有效规避了投机行为，保障了激励的长效性；非货币化的三层奖励结构，既符合碳积分的定义边界，又能有效提升用户参与粘性。本机制不追求绝对数值的精准核算，不依赖复杂的技术模型，而是聚焦于“引导用户持续改善低碳行为”这一核心目标，充分适配校园场景特点与用户需求。作为项目最核心、最不可替代的部分，本机制的合理性与可落地性，是整个项目成功的关键支撑。</w:t>
      </w:r>
    </w:p>
    <w:p w14:paraId="714F9142">
      <w:pPr>
        <w:spacing w:before="380" w:after="140" w:line="288" w:lineRule="auto"/>
        <w:ind w:left="0"/>
        <w:jc w:val="left"/>
        <w:outlineLvl w:val="0"/>
      </w:pPr>
      <w:bookmarkStart w:id="34" w:name="heading_34"/>
      <w:r>
        <w:rPr>
          <w:rFonts w:ascii="Arial" w:hAnsi="Arial" w:eastAsia="等线" w:cs="Arial"/>
          <w:b/>
          <w:sz w:val="36"/>
        </w:rPr>
        <w:t>八、给组员的执行说明（负责人）</w:t>
      </w:r>
      <w:bookmarkEnd w:id="34"/>
    </w:p>
    <w:p w14:paraId="718351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为确保机制严格落地，各角色组员需严格按照以下要求开展工作，严禁擅自修改核心逻辑、简化执行标准或引入新的表述方式：</w:t>
      </w:r>
    </w:p>
    <w:p w14:paraId="409BF5D6">
      <w:pPr>
        <w:spacing w:before="320" w:after="120" w:line="288" w:lineRule="auto"/>
        <w:ind w:left="0"/>
        <w:jc w:val="left"/>
        <w:outlineLvl w:val="1"/>
        <w:rPr>
          <w:highlight w:val="yellow"/>
        </w:rPr>
      </w:pPr>
      <w:bookmarkStart w:id="35" w:name="heading_35"/>
      <w:r>
        <w:rPr>
          <w:rFonts w:ascii="Arial" w:hAnsi="Arial" w:eastAsia="等线" w:cs="Arial"/>
          <w:b/>
          <w:sz w:val="32"/>
          <w:highlight w:val="yellow"/>
        </w:rPr>
        <w:t>开发成员：</w:t>
      </w:r>
      <w:bookmarkEnd w:id="35"/>
    </w:p>
    <w:p w14:paraId="22F08348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  <w:highlight w:val="yellow"/>
        </w:rPr>
        <w:t>严格按“分级 + 权重 + 上限”三大核心逻辑实现系统功能，不自行简化或修改逻辑（如不得跳过行为分级直接按变化率计算积分，不得随意调整行为权重占比，不得省略积分封顶规则）。</w:t>
      </w:r>
    </w:p>
    <w:p w14:paraId="460CD124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  <w:highlight w:val="yellow"/>
        </w:rPr>
        <w:t>重点实现四大核心模块：个</w:t>
      </w:r>
      <w:r>
        <w:rPr>
          <w:rFonts w:ascii="Arial" w:hAnsi="Arial" w:eastAsia="等线" w:cs="Arial"/>
          <w:color w:val="0000FF"/>
          <w:sz w:val="22"/>
          <w:highlight w:val="yellow"/>
        </w:rPr>
        <w:t>性化基准值计算模块、行为分级积分核算模块、完整行为阈值判定与积分封顶模块、自适应积分调整模块</w:t>
      </w:r>
      <w:r>
        <w:rPr>
          <w:rFonts w:ascii="Arial" w:hAnsi="Arial" w:eastAsia="等线" w:cs="Arial"/>
          <w:sz w:val="22"/>
          <w:highlight w:val="yellow"/>
        </w:rPr>
        <w:t>，确保各模块逻辑连贯、数据同步。</w:t>
      </w:r>
    </w:p>
    <w:p w14:paraId="0C07EED6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  <w:highlight w:val="yellow"/>
        </w:rPr>
        <w:t>系统界面需清晰</w:t>
      </w:r>
      <w:r>
        <w:rPr>
          <w:rFonts w:ascii="Arial" w:hAnsi="Arial" w:eastAsia="等线" w:cs="Arial"/>
          <w:color w:val="0000FF"/>
          <w:sz w:val="22"/>
          <w:highlight w:val="yellow"/>
        </w:rPr>
        <w:t>展示积分规则、行为维度权重、阈值完成进度、等级称号等信息</w:t>
      </w:r>
      <w:r>
        <w:rPr>
          <w:rFonts w:ascii="Arial" w:hAnsi="Arial" w:eastAsia="等线" w:cs="Arial"/>
          <w:sz w:val="22"/>
          <w:highlight w:val="yellow"/>
        </w:rPr>
        <w:t>，确保用户可清晰理解机制逻辑；同时预留数据统计接口，便于数据分析成员提取数据。</w:t>
      </w:r>
    </w:p>
    <w:p w14:paraId="13F88EDF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highlight w:val="yellow"/>
        </w:rPr>
      </w:pPr>
      <w:r>
        <w:rPr>
          <w:rFonts w:ascii="Arial" w:hAnsi="Arial" w:eastAsia="等线" w:cs="Arial"/>
          <w:sz w:val="22"/>
          <w:highlight w:val="yellow"/>
        </w:rPr>
        <w:t>遇到技术实现难题（如数据采集异常、规则逻辑冲突等），需第一时间向负责人反馈，共同商议解决方案，不得自行妥协简化逻辑。</w:t>
      </w:r>
    </w:p>
    <w:p w14:paraId="6A547449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数据分析成员：</w:t>
      </w:r>
      <w:bookmarkEnd w:id="36"/>
    </w:p>
    <w:p w14:paraId="4186CB5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数据分析重点聚焦“趋势变化”（如用户用电变化率环比/同比趋势、参与率变化趋势、激励调整前后行为效果变化趋势），不强调绝对数值（如用户具体用电量、总积分数值）。</w:t>
      </w:r>
    </w:p>
    <w:p w14:paraId="4722CBA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核心分析指标：用户行为参与率、平均节能变化率、完整行为阈值达标率、积分使用转化率、激励调整效果评估指标等，重点输出趋势分析报告，而非绝对数值统计报告。</w:t>
      </w:r>
    </w:p>
    <w:p w14:paraId="5902A28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分析过程中，需严格遵循本机制定义的术语与逻辑，不得引入“碳排放量”“积分货币价值”等非机制定义的表述；分析结果需用于优化机制参数（如自适应调整幅度、任务积分标准等），为负责人决策提供依据。</w:t>
      </w:r>
    </w:p>
    <w:p w14:paraId="46A2C53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定期（每月）提交数据分析报告，重点说明用户行为趋势、机制运行效果及潜在问题，不得仅提交数据罗列，需给出明确的趋势判断与优化建议。</w:t>
      </w:r>
    </w:p>
    <w:p w14:paraId="13D04681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文档成员：</w:t>
      </w:r>
      <w:bookmarkEnd w:id="37"/>
    </w:p>
    <w:p w14:paraId="535367E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所有项目文档（包括需求文档、设计文档、宣传文案、答辩材料等）的描述，必须统一使用本机制定义的术语与表述，不引入新说法、不自行解读机制逻辑。</w:t>
      </w:r>
    </w:p>
    <w:p w14:paraId="37425F8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统一表述要求：碳积分定义严格按1.2条款表述；积分生成逻辑统一强调“相对变化”而非绝对数值；奖励机制统一表述为“非货币化激励”，严禁出现“提现”“转让”“等价兑换”等违规表述；所有场景限定、约束规则均需与本说明书保持一致。</w:t>
      </w:r>
    </w:p>
    <w:p w14:paraId="733E4B2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文档编制过程中，需交叉核对各文档表述一致性，确保无逻辑冲突、无术语混淆；若发现其他组员提供的内容存在表述不一致问题，需及时提醒并纠正。</w:t>
      </w:r>
    </w:p>
    <w:p w14:paraId="4903A68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答辩材料、宣传文案中，需重点突出机制的核心创新点（相对变化、自适应激励）、约束逻辑与行为引导目标，避免过度强调技术实现细节或绝对数据效果。</w:t>
      </w:r>
    </w:p>
    <w:p w14:paraId="3510EBC9">
      <w:pPr>
        <w:spacing w:before="380" w:after="140" w:line="288" w:lineRule="auto"/>
        <w:ind w:left="0"/>
        <w:jc w:val="left"/>
        <w:outlineLvl w:val="0"/>
      </w:pPr>
      <w:bookmarkStart w:id="38" w:name="heading_38"/>
      <w:r>
        <w:rPr>
          <w:rFonts w:ascii="Arial" w:hAnsi="Arial" w:eastAsia="等线" w:cs="Arial"/>
          <w:b/>
          <w:sz w:val="36"/>
        </w:rPr>
        <w:t>结论</w:t>
      </w:r>
      <w:bookmarkEnd w:id="38"/>
    </w:p>
    <w:p w14:paraId="319AF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这是项目最核心、最不可替代的部分。只要这套机制站得住，你们整个项目就站得住。所有组员必须严格执行本说明书要求，守住机制的核心逻辑与边界，确保项目方向不跑偏、核心不松动。</w:t>
      </w:r>
    </w:p>
    <w:p w14:paraId="58C0222F">
      <w:pPr>
        <w:spacing w:before="380" w:after="140" w:line="288" w:lineRule="auto"/>
        <w:ind w:left="0"/>
        <w:jc w:val="left"/>
        <w:outlineLvl w:val="0"/>
      </w:pPr>
      <w:bookmarkStart w:id="39" w:name="heading_39"/>
      <w:r>
        <w:rPr>
          <w:rFonts w:ascii="Arial" w:hAnsi="Arial" w:eastAsia="等线" w:cs="Arial"/>
          <w:b/>
          <w:sz w:val="36"/>
        </w:rPr>
        <w:t>附录：关键术语统一对照表</w:t>
      </w:r>
      <w:bookmarkEnd w:id="3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B30C8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D4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03B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统一表述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FC3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禁止表述</w:t>
            </w:r>
          </w:p>
        </w:tc>
      </w:tr>
      <w:tr w14:paraId="69D9E3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91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DE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碳积分（对用户低碳行为相对变化的激励性量化指标）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BB4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碳排放量、碳减排量、环保币、绿色积分（非本机制定义）</w:t>
            </w:r>
          </w:p>
        </w:tc>
      </w:tr>
      <w:tr w14:paraId="5CF91C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D6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积分核算核心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3C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相对变化（与个人基准/群体基准对比的行为改善情况）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27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绝对数值、用电量多少、步数多少</w:t>
            </w:r>
          </w:p>
        </w:tc>
      </w:tr>
      <w:tr w14:paraId="68A30C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0D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奖励性质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4D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非货币化激励、象征性奖励、集体荣誉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3F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提现、转让、等价兑换、商品兑换</w:t>
            </w:r>
          </w:p>
        </w:tc>
      </w:tr>
      <w:tr w14:paraId="18D0F0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8F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机制创新点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6A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自适应激励（基于参与率与效果趋势的小幅动态调整）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B2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动态优化、最优解调整、智能算法（过度夸大或误导）</w:t>
            </w:r>
          </w:p>
        </w:tc>
      </w:tr>
      <w:tr w14:paraId="55F82C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E9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F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完整行为阈值、积分封顶、行为组合约束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FFC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防作弊、反刷分（表述不规范，未体现机制核心）</w:t>
            </w:r>
          </w:p>
        </w:tc>
      </w:tr>
    </w:tbl>
    <w:p w14:paraId="43DB6739">
      <w:pPr>
        <w:spacing w:before="120" w:after="120" w:line="288" w:lineRule="auto"/>
        <w:ind w:left="0"/>
        <w:jc w:val="left"/>
      </w:pPr>
      <w:bookmarkStart w:id="40" w:name="_GoBack"/>
      <w:bookmarkEnd w:id="4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2D96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6D97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6"/>
  </w:num>
  <w:num w:numId="4">
    <w:abstractNumId w:val="8"/>
  </w:num>
  <w:num w:numId="5">
    <w:abstractNumId w:val="6"/>
  </w:num>
  <w:num w:numId="6">
    <w:abstractNumId w:val="16"/>
  </w:num>
  <w:num w:numId="7">
    <w:abstractNumId w:val="19"/>
  </w:num>
  <w:num w:numId="8">
    <w:abstractNumId w:val="30"/>
  </w:num>
  <w:num w:numId="9">
    <w:abstractNumId w:val="15"/>
  </w:num>
  <w:num w:numId="10">
    <w:abstractNumId w:val="2"/>
  </w:num>
  <w:num w:numId="11">
    <w:abstractNumId w:val="20"/>
  </w:num>
  <w:num w:numId="12">
    <w:abstractNumId w:val="27"/>
  </w:num>
  <w:num w:numId="13">
    <w:abstractNumId w:val="9"/>
  </w:num>
  <w:num w:numId="14">
    <w:abstractNumId w:val="24"/>
  </w:num>
  <w:num w:numId="15">
    <w:abstractNumId w:val="13"/>
  </w:num>
  <w:num w:numId="16">
    <w:abstractNumId w:val="18"/>
  </w:num>
  <w:num w:numId="17">
    <w:abstractNumId w:val="12"/>
  </w:num>
  <w:num w:numId="18">
    <w:abstractNumId w:val="11"/>
  </w:num>
  <w:num w:numId="19">
    <w:abstractNumId w:val="4"/>
  </w:num>
  <w:num w:numId="20">
    <w:abstractNumId w:val="23"/>
  </w:num>
  <w:num w:numId="21">
    <w:abstractNumId w:val="28"/>
  </w:num>
  <w:num w:numId="22">
    <w:abstractNumId w:val="17"/>
  </w:num>
  <w:num w:numId="23">
    <w:abstractNumId w:val="22"/>
  </w:num>
  <w:num w:numId="24">
    <w:abstractNumId w:val="5"/>
  </w:num>
  <w:num w:numId="25">
    <w:abstractNumId w:val="32"/>
  </w:num>
  <w:num w:numId="26">
    <w:abstractNumId w:val="31"/>
  </w:num>
  <w:num w:numId="27">
    <w:abstractNumId w:val="7"/>
  </w:num>
  <w:num w:numId="28">
    <w:abstractNumId w:val="29"/>
  </w:num>
  <w:num w:numId="29">
    <w:abstractNumId w:val="3"/>
  </w:num>
  <w:num w:numId="30">
    <w:abstractNumId w:val="21"/>
  </w:num>
  <w:num w:numId="31">
    <w:abstractNumId w:val="1"/>
  </w:num>
  <w:num w:numId="32">
    <w:abstractNumId w:val="25"/>
  </w:num>
  <w:num w:numId="33">
    <w:abstractNumId w:val="33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3933F2E"/>
    <w:rsid w:val="5DC664B8"/>
    <w:rsid w:val="7CC619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8279</Words>
  <Characters>8432</Characters>
  <TotalTime>12498</TotalTime>
  <ScaleCrop>false</ScaleCrop>
  <LinksUpToDate>false</LinksUpToDate>
  <CharactersWithSpaces>8485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2026-01-26T12:03:00Z</dcterms:created>
  <dc:creator>Apache POI</dc:creator>
  <cp:lastModifiedBy>黎文靖</cp:lastModifiedBy>
  <dcterms:modified xsi:type="dcterms:W3CDTF">2026-02-09T09:10:31Z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eyJoZGlkIjoiMzEwNTM5NzYwMDRjMzkwZTVkZjY2ODkwMGIxNGU0OTUiLCJ1c2VySWQiOiIxNTYyNzI0NDc3In0=</vt:lpwstr>
  </property>
  <property fmtid="{D5CDD505-2E9C-101B-9397-08002B2CF9AE}" pid="3" name="KSOProductBuildVer">
    <vt:lpwstr>2052-12.1.0.19302</vt:lpwstr>
  </property>
  <property fmtid="{D5CDD505-2E9C-101B-9397-08002B2CF9AE}" pid="4" name="ICV">
    <vt:lpwstr>29A0311B262D494BA2401112200A150A_12</vt:lpwstr>
  </property>
</Properties>
</file>