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5F"/>
          <w:sz w:val="48"/>
          <w:szCs w:val="48"/>
        </w:rPr>
        <w:t xml:space="preserve">CAMPUS ONE</w:t>
      </w:r>
    </w:p>
    <w:p>
      <w:pPr>
        <w:spacing w:after="300"/>
      </w:pPr>
      <w:r>
        <w:rPr>
          <w:b/>
          <w:bCs/>
          <w:color w:val="B45309"/>
          <w:sz w:val="30"/>
          <w:szCs w:val="30"/>
        </w:rPr>
        <w:t xml:space="preserve">Analyse technique &amp; Roadmap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0%"/>
          </w:tcPr>
          <w:p>
            <w:pPr>
              <w:spacing w:after="160"/>
            </w:pPr>
            <w:r>
              <w:rPr>
                <w:color w:val="475569"/>
              </w:rPr>
              <w:t xml:space="preserve">Basé sur</w:t>
            </w:r>
          </w:p>
        </w:tc>
        <w:tc>
          <w:tcPr>
            <w:tcW w:type="pct" w:w="70%"/>
          </w:tcPr>
          <w:p>
            <w:pPr>
              <w:spacing w:after="160"/>
            </w:pPr>
            <w:r>
              <w:t xml:space="preserve">Cahier des charges consolidé v1.0 — site vitrine, espace candidat et back-office</w:t>
            </w:r>
          </w:p>
        </w:tc>
      </w:tr>
      <w:tr>
        <w:tc>
          <w:p>
            <w:pPr>
              <w:spacing w:after="160"/>
            </w:pPr>
            <w:r>
              <w:rPr>
                <w:color w:val="475569"/>
              </w:rPr>
              <w:t xml:space="preserve">Stack imposée</w:t>
            </w:r>
          </w:p>
        </w:tc>
        <w:tc>
          <w:p>
            <w:pPr>
              <w:spacing w:after="160"/>
            </w:pPr>
            <w:r>
              <w:t xml:space="preserve">Node.js (API) · PostgreSQL · Redis · Next.js — site + espace candidat dans une seule application, back-office séparé</w:t>
            </w:r>
          </w:p>
        </w:tc>
      </w:tr>
      <w:tr>
        <w:tc>
          <w:p>
            <w:pPr>
              <w:spacing w:after="160"/>
            </w:pPr>
            <w:r>
              <w:rPr>
                <w:color w:val="475569"/>
              </w:rPr>
              <w:t xml:space="preserve">Rédigé par</w:t>
            </w:r>
          </w:p>
        </w:tc>
        <w:tc>
          <w:p>
            <w:pPr>
              <w:spacing w:after="160"/>
            </w:pPr>
            <w:r>
              <w:t xml:space="preserve">Claude — ingénieur senior, UI/UX, DevOps, architecte solution</w:t>
            </w:r>
          </w:p>
        </w:tc>
      </w:tr>
      <w:tr>
        <w:tc>
          <w:p>
            <w:pPr>
              <w:spacing w:after="160"/>
            </w:pPr>
            <w:r>
              <w:rPr>
                <w:color w:val="475569"/>
              </w:rPr>
              <w:t xml:space="preserve">Date</w:t>
            </w:r>
          </w:p>
        </w:tc>
        <w:tc>
          <w:p>
            <w:pPr>
              <w:spacing w:after="160"/>
            </w:pPr>
            <w:r>
              <w:t xml:space="preserve">18 septembre 2026</w:t>
            </w:r>
          </w:p>
        </w:tc>
      </w:tr>
    </w:tbl>
    <w:p>
      <w:pPr>
        <w:pBdr>
          <w:bottom w:val="single" w:color="CBD5E1" w:sz="6" w:space="1"/>
        </w:pBdr>
        <w:spacing w:after="200" w:before="200"/>
      </w:pPr>
    </w:p>
    <w:p>
      <w:pPr>
        <w:pStyle w:val="Heading1"/>
        <w:spacing w:after="200" w:before="400"/>
      </w:pPr>
      <w:r>
        <w:t xml:space="preserve">1. Lecture du projet</w:t>
      </w:r>
    </w:p>
    <w:p>
      <w:pPr>
        <w:spacing w:after="160"/>
      </w:pPr>
      <w:r>
        <w:t xml:space="preserve">Campus One n'est pas un simple site avec formulaire de contact : c'est un </w:t>
      </w:r>
      <w:r>
        <w:rPr>
          <w:b/>
          <w:bCs/>
        </w:rPr>
        <w:t xml:space="preserve">système de gestion de dossiers métier (GED + workflow + CRM léger)</w:t>
      </w:r>
      <w:r>
        <w:t xml:space="preserve"> habillé d'un site vitrine commercial. Trois briques fonctionnelles aux exigences très différentes, mais </w:t>
      </w:r>
      <w:r>
        <w:rPr>
          <w:b/>
          <w:bCs/>
        </w:rPr>
        <w:t xml:space="preserve">deux applications seulement</w:t>
      </w:r>
      <w:r>
        <w:t xml:space="preserve"> :</w:t>
      </w:r>
    </w:p>
    <w:p>
      <w:pPr>
        <w:pStyle w:val="ListParagraph"/>
        <w:numPr>
          <w:ilvl w:val="0"/>
          <w:numId w:val="2"/>
        </w:numPr>
        <w:spacing w:after="100"/>
      </w:pPr>
      <w:r>
        <w:rPr>
          <w:b/>
          <w:bCs/>
        </w:rPr>
        <w:t xml:space="preserve">Site vitrine + espace candidat</w:t>
      </w:r>
      <w:r>
        <w:t xml:space="preserve"> : une seule application Next.js. Le menu « Mon espace » est un lien interne vers l'espace authentifié du candidat — impossible à obtenir proprement avec deux applications distinctes (changement de domaine, session à repropager, rupture de navigation). Priorité : conversion et SEO sur les pages publiques, clarté/confiance/mobile sur les pages authentifiées, avec une transition invisible entre les deux.</w:t>
      </w:r>
    </w:p>
    <w:p>
      <w:pPr>
        <w:pStyle w:val="ListParagraph"/>
        <w:numPr>
          <w:ilvl w:val="0"/>
          <w:numId w:val="2"/>
        </w:numPr>
        <w:spacing w:after="100"/>
      </w:pPr>
      <w:r>
        <w:rPr>
          <w:b/>
          <w:bCs/>
        </w:rPr>
        <w:t xml:space="preserve">Back-office</w:t>
      </w:r>
      <w:r>
        <w:t xml:space="preserve"> : application Next.js distincte, sur un sous-domaine dédié (ex. </w:t>
      </w:r>
      <w:r>
        <w:rPr>
          <w:rFonts w:ascii="Consolas" w:cs="Consolas" w:eastAsia="Consolas" w:hAnsi="Consolas"/>
          <w:color w:val="AF3A03"/>
        </w:rPr>
        <w:t xml:space="preserve">admin.campus-one.com</w:t>
      </w:r>
      <w:r>
        <w:t xml:space="preserve">), avec sa propre session — volumétrie de données, configuration sans code (moteur d'étapes, checklists, rôles), reporting, priorité densité d'information et rapidité d'exécution. Séparer le back-office reste justifié : public interne différent, pas de raison de charger le bundle admin sur le site public, et surface d'attaque réduite.</w:t>
      </w:r>
    </w:p>
    <w:p>
      <w:pPr>
        <w:spacing w:after="160"/>
      </w:pPr>
      <w:r>
        <w:t xml:space="preserve">Le document soulevait deux points d'arbitrage. Le premier est tranché : </w:t>
      </w:r>
      <w:r>
        <w:rPr>
          <w:b/>
          <w:bCs/>
        </w:rPr>
        <w:t xml:space="preserve">pas de passerelle de paiement instantané (Semoa) en V1</w:t>
      </w:r>
      <w:r>
        <w:t xml:space="preserve">, mais le circuit </w:t>
      </w:r>
      <w:r>
        <w:rPr>
          <w:b/>
          <w:bCs/>
        </w:rPr>
        <w:t xml:space="preserve">dépôt bancaire avec validation par bordereau reste bien dans le périmètre V1</w:t>
      </w:r>
      <w:r>
        <w:t xml:space="preserve">, aux côtés du paiement hors ligne classique (règlement en agence, statut enregistré manuellement). Le candidat a donc deux options en V1 — payer en agence, ou déposer le montant en banque et téléverser son bordereau pour validation manuelle par le gestionnaire — et une seule chose sort du périmètre : le paiement carte/mobile money instantané via Semoa, reporté en Phase 6. Le second arbitrage (politique de rétention RGPD) reste un </w:t>
      </w:r>
      <w:r>
        <w:rPr>
          <w:b/>
          <w:bCs/>
        </w:rPr>
        <w:t xml:space="preserve">prérequis bloquant avant modélisation définitive</w:t>
      </w:r>
      <w:r>
        <w:t xml:space="preserve">, car il conditionne la stratégie d'archivage/purge.</w:t>
      </w:r>
    </w:p>
    <w:p>
      <w:pPr>
        <w:pStyle w:val="Heading3"/>
        <w:spacing w:after="120" w:before="240"/>
      </w:pPr>
      <w:r>
        <w:t xml:space="preserve">Complexité principale, par ordre décroissant</w:t>
      </w:r>
    </w:p>
    <w:p>
      <w:pPr>
        <w:pStyle w:val="ListParagraph"/>
        <w:numPr>
          <w:ilvl w:val="0"/>
          <w:numId w:val="3"/>
        </w:numPr>
        <w:spacing w:after="100"/>
      </w:pPr>
      <w:r>
        <w:rPr>
          <w:b/>
          <w:bCs/>
        </w:rPr>
        <w:t xml:space="preserve">Moteur d'étapes configurable par filière</w:t>
      </w:r>
      <w:r>
        <w:t xml:space="preserve"> — un vrai moteur de workflow, pas des statuts enum. C'est la pièce architecturale la plus structurante du projet ; toute la modélisation des dossiers en dépend.</w:t>
      </w:r>
    </w:p>
    <w:p>
      <w:pPr>
        <w:pStyle w:val="ListParagraph"/>
        <w:numPr>
          <w:ilvl w:val="0"/>
          <w:numId w:val="3"/>
        </w:numPr>
        <w:spacing w:after="100"/>
      </w:pPr>
      <w:r>
        <w:rPr>
          <w:b/>
          <w:bCs/>
        </w:rPr>
        <w:t xml:space="preserve">Campagnes annuelles avec dossiers multiples par étudiant</w:t>
      </w:r>
      <w:r>
        <w:t xml:space="preserve"> — implique une relation étudiant → dossier (N,N) avec isolation stricte des données par campagne.</w:t>
      </w:r>
    </w:p>
    <w:p>
      <w:pPr>
        <w:pStyle w:val="ListParagraph"/>
        <w:numPr>
          <w:ilvl w:val="0"/>
          <w:numId w:val="3"/>
        </w:numPr>
        <w:spacing w:after="100"/>
      </w:pPr>
      <w:r>
        <w:rPr>
          <w:b/>
          <w:bCs/>
        </w:rPr>
        <w:t xml:space="preserve">GED avec versioning, checklist configurable, workflow de validation par pièce</w:t>
      </w:r>
      <w:r>
        <w:t xml:space="preserve"> — proche d'un mini-DMS.</w:t>
      </w:r>
    </w:p>
    <w:p>
      <w:pPr>
        <w:pStyle w:val="ListParagraph"/>
        <w:numPr>
          <w:ilvl w:val="0"/>
          <w:numId w:val="3"/>
        </w:numPr>
        <w:spacing w:after="100"/>
      </w:pPr>
      <w:r>
        <w:rPr>
          <w:b/>
          <w:bCs/>
        </w:rPr>
        <w:t xml:space="preserve">Paiement</w:t>
      </w:r>
      <w:r>
        <w:t xml:space="preserve"> — la V1 couvre deux circuits : paiement hors ligne (statut enregistré manuellement) et dépôt bancaire avec validation par bordereau (upload d'un justificatif par le candidat, rapprochement et validation/rejet par le gestionnaire, génération automatique du reçu). C'est une vraie state machine, mais sans webhook externe — seul le circuit Semoa (paiement instantané par passerelle) est reporté en Phase 6 ; le schéma </w:t>
      </w:r>
      <w:r>
        <w:rPr>
          <w:rFonts w:ascii="Consolas" w:cs="Consolas" w:eastAsia="Consolas" w:hAnsi="Consolas"/>
          <w:color w:val="AF3A03"/>
        </w:rPr>
        <w:t xml:space="preserve">payments</w:t>
      </w:r>
      <w:r>
        <w:t xml:space="preserve"> est conçu pour l'accueillir sans refonte.</w:t>
      </w:r>
    </w:p>
    <w:p>
      <w:pPr>
        <w:pStyle w:val="ListParagraph"/>
        <w:numPr>
          <w:ilvl w:val="0"/>
          <w:numId w:val="3"/>
        </w:numPr>
        <w:spacing w:after="100"/>
      </w:pPr>
      <w:r>
        <w:rPr>
          <w:b/>
          <w:bCs/>
        </w:rPr>
        <w:t xml:space="preserve">RBAC extensible</w:t>
      </w:r>
      <w:r>
        <w:t xml:space="preserve"> (2 rôles de base + création libre de profils) — nécessite un modèle permissions granulaire, pas des rôles codés en dur.</w:t>
      </w:r>
    </w:p>
    <w:p>
      <w:pPr>
        <w:spacing w:after="160"/>
      </w:pPr>
      <w:r>
        <w:t xml:space="preserve">Le reste (catalogue, rendez-vous, messagerie, notifications, partenaires) est du CRUD métier standard, bien maîtrisé avec Next.js/Node/Postgres.</w:t>
      </w:r>
    </w:p>
    <w:p>
      <w:pPr>
        <w:pStyle w:val="Heading1"/>
        <w:spacing w:after="200" w:before="400"/>
      </w:pPr>
      <w:r>
        <w:t xml:space="preserve">2. Architecture technique proposée</w:t>
      </w:r>
    </w:p>
    <w:p>
      <w:pPr>
        <w:pStyle w:val="Heading2"/>
        <w:spacing w:after="160" w:before="300"/>
      </w:pPr>
      <w:r>
        <w:t xml:space="preserve">2.1 Organisation du code</w:t>
      </w:r>
    </w:p>
    <w:p>
      <w:pPr>
        <w:spacing w:after="160"/>
      </w:pPr>
      <w:r>
        <w:t xml:space="preserve">Monorepo (recommandé pour ce projet : 2 applications front qui partagent types, design system et logique métier) :</w:t>
      </w:r>
    </w:p>
    <w:p>
      <w:pPr>
        <w:pBdr>
          <w:top w:val="single" w:color="CBD5E1" w:sz="2"/>
          <w:bottom w:val="single" w:color="CBD5E1" w:sz="2"/>
          <w:left w:val="single" w:color="CBD5E1" w:sz="2"/>
          <w:right w:val="single" w:color="CBD5E1" w:sz="2"/>
        </w:pBdr>
        <w:shd w:fill="F1F5F9" w:val="clear"/>
        <w:spacing w:after="200" w:before="120"/>
      </w:pPr>
      <w:r>
        <w:rPr>
          <w:rFonts w:ascii="Consolas" w:cs="Consolas" w:eastAsia="Consolas" w:hAnsi="Consolas"/>
          <w:color w:val="334155"/>
          <w:sz w:val="18"/>
          <w:szCs w:val="18"/>
        </w:rPr>
        <w:t xml:space="preserve">campus-one/
├── apps/
│   ├── web/            # Next.js — site vitrine + espace candidat (une seule app)
│   │   ├── (public)/    # accueil, catalogue, fiche formation, blog... (SSG/ISR)
│   │   └── (candidat)/  # /mon-espace/* (authentifié, SSR + client)
│   ├── backoffice/     # Next.js — back-office interne (sous-domaine séparé)
│   └── api/             # Node.js — API centrale, partagée par les deux apps front
├── packages/
│   ├── db/               # schéma Prisma/Drizzle + migrations, client typé
│   ├── ui/               # design system partagé (composants + tokens)
│   ├── contracts/        # schémas Zod + types partagés API ↔ front (tRPC / ts-rest)
│   ├── config/           # eslint, tsconfig, tailwind config partagés
│   └── workers/          # jobs BullMQ (emails, exports)
└── infra/                # docker-compose, CI/CD, scripts de déploiement</w:t>
      </w:r>
    </w:p>
    <w:p>
      <w:pPr>
        <w:spacing w:after="160"/>
      </w:pPr>
      <w:r>
        <w:rPr>
          <w:rFonts w:ascii="Consolas" w:cs="Consolas" w:eastAsia="Consolas" w:hAnsi="Consolas"/>
          <w:color w:val="AF3A03"/>
        </w:rPr>
        <w:t xml:space="preserve">apps/web</w:t>
      </w:r>
      <w:r>
        <w:t xml:space="preserve"> regroupe le site vitrine et l'espace candidat dans une seule application Next.js (App Router), avec deux groupes de routes qui partagent le même layout racine, la même session et le même domaine : les pages publiques </w:t>
      </w:r>
      <w:r>
        <w:rPr>
          <w:rFonts w:ascii="Consolas" w:cs="Consolas" w:eastAsia="Consolas" w:hAnsi="Consolas"/>
          <w:color w:val="AF3A03"/>
        </w:rPr>
        <w:t xml:space="preserve">(public)</w:t>
      </w:r>
      <w:r>
        <w:t xml:space="preserve"> en SSG/ISR pour la performance et le SEO, et les pages </w:t>
      </w:r>
      <w:r>
        <w:rPr>
          <w:rFonts w:ascii="Consolas" w:cs="Consolas" w:eastAsia="Consolas" w:hAnsi="Consolas"/>
          <w:color w:val="AF3A03"/>
        </w:rPr>
        <w:t xml:space="preserve">(candidat)</w:t>
      </w:r>
      <w:r>
        <w:t xml:space="preserve"> sous </w:t>
      </w:r>
      <w:r>
        <w:rPr>
          <w:rFonts w:ascii="Consolas" w:cs="Consolas" w:eastAsia="Consolas" w:hAnsi="Consolas"/>
          <w:color w:val="AF3A03"/>
        </w:rPr>
        <w:t xml:space="preserve">/mon-espace</w:t>
      </w:r>
      <w:r>
        <w:t xml:space="preserve"> protégées par middleware d'authentification. Le lien « Mon espace » du menu est une simple navigation interne, avec redirection vers </w:t>
      </w:r>
      <w:r>
        <w:rPr>
          <w:rFonts w:ascii="Consolas" w:cs="Consolas" w:eastAsia="Consolas" w:hAnsi="Consolas"/>
          <w:color w:val="AF3A03"/>
        </w:rPr>
        <w:t xml:space="preserve">/connexion</w:t>
      </w:r>
      <w:r>
        <w:t xml:space="preserve"> si le candidat n'est pas authentifié — pas de changement d'application, pas de rupture de session.</w:t>
      </w:r>
    </w:p>
    <w:p>
      <w:pPr>
        <w:spacing w:after="160"/>
      </w:pPr>
      <w:r>
        <w:t xml:space="preserve">Outils : Turborepo ou Nx pour l'orchestration monorepo, pnpm workspaces. Un seul schéma de base de données pour les deux applications front (l'API est le seul point d'accès aux données).</w:t>
      </w:r>
    </w:p>
    <w:p>
      <w:pPr>
        <w:pStyle w:val="Heading2"/>
        <w:spacing w:after="160" w:before="300"/>
      </w:pPr>
      <w:r>
        <w:t xml:space="preserve">2.2 API Node.js</w:t>
      </w:r>
    </w:p>
    <w:p>
      <w:pPr>
        <w:pStyle w:val="ListParagraph"/>
        <w:numPr>
          <w:ilvl w:val="0"/>
          <w:numId w:val="2"/>
        </w:numPr>
        <w:spacing w:after="100"/>
      </w:pPr>
      <w:r>
        <w:rPr>
          <w:b/>
          <w:bCs/>
        </w:rPr>
        <w:t xml:space="preserve">Framework</w:t>
      </w:r>
      <w:r>
        <w:t xml:space="preserve"> : NestJS plutôt qu'Express nu. Le volume de domaines métier (dossiers, étapes, paiements, GED, partenaires, RBAC, rendez-vous) justifie une structure modulaire imposée, l'injection de dépendances et les guards RBAC déclaratifs.</w:t>
      </w:r>
    </w:p>
    <w:p>
      <w:pPr>
        <w:pStyle w:val="ListParagraph"/>
        <w:numPr>
          <w:ilvl w:val="0"/>
          <w:numId w:val="2"/>
        </w:numPr>
        <w:spacing w:after="100"/>
      </w:pPr>
      <w:r>
        <w:rPr>
          <w:b/>
          <w:bCs/>
        </w:rPr>
        <w:t xml:space="preserve">Contrat API typé de bout en bout</w:t>
      </w:r>
      <w:r>
        <w:t xml:space="preserve"> : tRPC (si Next.js consomme directement l'API dans le même monorepo TypeScript) ou, à défaut, schémas OpenAPI générés + client généré (</w:t>
      </w:r>
      <w:r>
        <w:rPr>
          <w:rFonts w:ascii="Consolas" w:cs="Consolas" w:eastAsia="Consolas" w:hAnsi="Consolas"/>
          <w:color w:val="AF3A03"/>
        </w:rPr>
        <w:t xml:space="preserve">ts-rest</w:t>
      </w:r>
      <w:r>
        <w:t xml:space="preserve">/</w:t>
      </w:r>
      <w:r>
        <w:rPr>
          <w:rFonts w:ascii="Consolas" w:cs="Consolas" w:eastAsia="Consolas" w:hAnsi="Consolas"/>
          <w:color w:val="AF3A03"/>
        </w:rPr>
        <w:t xml:space="preserve">openapi-typescript</w:t>
      </w:r>
      <w:r>
        <w:t xml:space="preserve">).</w:t>
      </w:r>
    </w:p>
    <w:p>
      <w:pPr>
        <w:pStyle w:val="ListParagraph"/>
        <w:numPr>
          <w:ilvl w:val="0"/>
          <w:numId w:val="2"/>
        </w:numPr>
        <w:spacing w:after="100"/>
      </w:pPr>
      <w:r>
        <w:rPr>
          <w:b/>
          <w:bCs/>
        </w:rPr>
        <w:t xml:space="preserve">ORM</w:t>
      </w:r>
      <w:r>
        <w:t xml:space="preserve"> : Prisma (rapidité de développement, migrations lisibles) ou Drizzle (plus proche SQL, meilleures perfs sur requêtes de reporting). Recommandation : </w:t>
      </w:r>
      <w:r>
        <w:rPr>
          <w:b/>
          <w:bCs/>
        </w:rPr>
        <w:t xml:space="preserve">Prisma</w:t>
      </w:r>
      <w:r>
        <w:t xml:space="preserve"> pour la vélocité en V1, avec vigilance sur les requêtes de tableaux de bord.</w:t>
      </w:r>
    </w:p>
    <w:p>
      <w:pPr>
        <w:pStyle w:val="ListParagraph"/>
        <w:numPr>
          <w:ilvl w:val="0"/>
          <w:numId w:val="2"/>
        </w:numPr>
        <w:spacing w:after="100"/>
      </w:pPr>
      <w:r>
        <w:rPr>
          <w:b/>
          <w:bCs/>
        </w:rPr>
        <w:t xml:space="preserve">File d'attente</w:t>
      </w:r>
      <w:r>
        <w:t xml:space="preserve"> : BullMQ (adossé à Redis) pour tout ce qui ne doit pas bloquer la requête HTTP : email, génération de reçu PDF, PDF récapitulatif de dossier, export CSV/Excel.</w:t>
      </w:r>
    </w:p>
    <w:p>
      <w:pPr>
        <w:pStyle w:val="ListParagraph"/>
        <w:numPr>
          <w:ilvl w:val="0"/>
          <w:numId w:val="2"/>
        </w:numPr>
        <w:spacing w:after="100"/>
      </w:pPr>
      <w:r>
        <w:rPr>
          <w:b/>
          <w:bCs/>
        </w:rPr>
        <w:t xml:space="preserve">Stockage documentaire</w:t>
      </w:r>
      <w:r>
        <w:t xml:space="preserve"> : object storage compatible S3 (Contabo Object Storage, ou MinIO auto-hébergé) — jamais sur le disque du serveur applicatif. Upload via URL pré-signée. Antivirus ClamAV en tâche asynchrone sur chaque upload.</w:t>
      </w:r>
    </w:p>
    <w:p>
      <w:pPr>
        <w:pStyle w:val="ListParagraph"/>
        <w:numPr>
          <w:ilvl w:val="0"/>
          <w:numId w:val="2"/>
        </w:numPr>
        <w:spacing w:after="100"/>
      </w:pPr>
      <w:r>
        <w:rPr>
          <w:b/>
          <w:bCs/>
        </w:rPr>
        <w:t xml:space="preserve">Paiement (V1)</w:t>
      </w:r>
      <w:r>
        <w:t xml:space="preserve"> : pas d'intégration de passerelle externe, mais deux circuits fonctionnels à part entière. (1) Hors ligne : endpoint back-office permettant à un profil "Comptabilité" d'enregistrer un statut de paiement (montant, date, mode, référence). (2) Dépôt bancaire par bordereau : le candidat téléverse son bordereau (réutilise la brique GED), le dossier passe en « Paiement en attente de validation », le gestionnaire consulte et valide/rejette ; la validation déclenche un job BullMQ (reçu PDF + email), le rejet réutilise la page « Remarques ».</w:t>
      </w:r>
    </w:p>
    <w:p>
      <w:pPr>
        <w:pStyle w:val="Heading2"/>
        <w:spacing w:after="160" w:before="300"/>
      </w:pPr>
      <w:r>
        <w:t xml:space="preserve">2.3 PostgreSQL — points de modélisation clés</w:t>
      </w:r>
    </w:p>
    <w:p>
      <w:pPr>
        <w:pStyle w:val="ListParagraph"/>
        <w:numPr>
          <w:ilvl w:val="0"/>
          <w:numId w:val="2"/>
        </w:numPr>
        <w:spacing w:after="100"/>
      </w:pPr>
      <w:r>
        <w:rPr>
          <w:b/>
          <w:bCs/>
        </w:rPr>
        <w:t xml:space="preserve">Moteur d'étapes</w:t>
      </w:r>
      <w:r>
        <w:t xml:space="preserve"> : ne pas coder les étapes en </w:t>
      </w:r>
      <w:r>
        <w:rPr>
          <w:rFonts w:ascii="Consolas" w:cs="Consolas" w:eastAsia="Consolas" w:hAnsi="Consolas"/>
          <w:color w:val="AF3A03"/>
        </w:rPr>
        <w:t xml:space="preserve">enum</w:t>
      </w:r>
      <w:r>
        <w:t xml:space="preserve">. Modèle recommandé : </w:t>
      </w:r>
      <w:r>
        <w:rPr>
          <w:rFonts w:ascii="Consolas" w:cs="Consolas" w:eastAsia="Consolas" w:hAnsi="Consolas"/>
          <w:color w:val="AF3A03"/>
        </w:rPr>
        <w:t xml:space="preserve">step_templates</w:t>
      </w:r>
      <w:r>
        <w:t xml:space="preserve"> (par filière/campagne, ordre et libellé configurables) + </w:t>
      </w:r>
      <w:r>
        <w:rPr>
          <w:rFonts w:ascii="Consolas" w:cs="Consolas" w:eastAsia="Consolas" w:hAnsi="Consolas"/>
          <w:color w:val="AF3A03"/>
        </w:rPr>
        <w:t xml:space="preserve">application_steps</w:t>
      </w:r>
      <w:r>
        <w:t xml:space="preserve"> (instance par dossier, statut, date, agent responsable). Le passage manuel en V1 simplifie la state machine, mais prévoir dès maintenant les colonnes pour l'automatisation par règles en V2.</w:t>
      </w:r>
    </w:p>
    <w:p>
      <w:pPr>
        <w:pStyle w:val="ListParagraph"/>
        <w:numPr>
          <w:ilvl w:val="0"/>
          <w:numId w:val="2"/>
        </w:numPr>
        <w:spacing w:after="100"/>
      </w:pPr>
      <w:r>
        <w:rPr>
          <w:b/>
          <w:bCs/>
        </w:rPr>
        <w:t xml:space="preserve">Campagnes</w:t>
      </w:r>
      <w:r>
        <w:t xml:space="preserve"> : </w:t>
      </w:r>
      <w:r>
        <w:rPr>
          <w:rFonts w:ascii="Consolas" w:cs="Consolas" w:eastAsia="Consolas" w:hAnsi="Consolas"/>
          <w:color w:val="AF3A03"/>
        </w:rPr>
        <w:t xml:space="preserve">campaigns</w:t>
      </w:r>
      <w:r>
        <w:t xml:space="preserve"> (par filière/année) → </w:t>
      </w:r>
      <w:r>
        <w:rPr>
          <w:rFonts w:ascii="Consolas" w:cs="Consolas" w:eastAsia="Consolas" w:hAnsi="Consolas"/>
          <w:color w:val="AF3A03"/>
        </w:rPr>
        <w:t xml:space="preserve">applications</w:t>
      </w:r>
      <w:r>
        <w:t xml:space="preserve"> (dossier, campagne, étudiant, formation) → un étudiant a *n* dossiers sur *n* campagnes. Index sur </w:t>
      </w:r>
      <w:r>
        <w:rPr>
          <w:rFonts w:ascii="Consolas" w:cs="Consolas" w:eastAsia="Consolas" w:hAnsi="Consolas"/>
          <w:color w:val="AF3A03"/>
        </w:rPr>
        <w:t xml:space="preserve">(student_id, campaign_id)</w:t>
      </w:r>
      <w:r>
        <w:t xml:space="preserve">.</w:t>
      </w:r>
    </w:p>
    <w:p>
      <w:pPr>
        <w:pStyle w:val="ListParagraph"/>
        <w:numPr>
          <w:ilvl w:val="0"/>
          <w:numId w:val="2"/>
        </w:numPr>
        <w:spacing w:after="100"/>
      </w:pPr>
      <w:r>
        <w:rPr>
          <w:b/>
          <w:bCs/>
        </w:rPr>
        <w:t xml:space="preserve">GED</w:t>
      </w:r>
      <w:r>
        <w:t xml:space="preserve"> : </w:t>
      </w:r>
      <w:r>
        <w:rPr>
          <w:rFonts w:ascii="Consolas" w:cs="Consolas" w:eastAsia="Consolas" w:hAnsi="Consolas"/>
          <w:color w:val="AF3A03"/>
        </w:rPr>
        <w:t xml:space="preserve">document_types</w:t>
      </w:r>
      <w:r>
        <w:t xml:space="preserve"> configurables (obligatoire/facultatif, format, taille max) + </w:t>
      </w:r>
      <w:r>
        <w:rPr>
          <w:rFonts w:ascii="Consolas" w:cs="Consolas" w:eastAsia="Consolas" w:hAnsi="Consolas"/>
          <w:color w:val="AF3A03"/>
        </w:rPr>
        <w:t xml:space="preserve">documents</w:t>
      </w:r>
      <w:r>
        <w:t xml:space="preserve"> (une ligne par version, </w:t>
      </w:r>
      <w:r>
        <w:rPr>
          <w:rFonts w:ascii="Consolas" w:cs="Consolas" w:eastAsia="Consolas" w:hAnsi="Consolas"/>
          <w:color w:val="AF3A03"/>
        </w:rPr>
        <w:t xml:space="preserve">is_current</w:t>
      </w:r>
      <w:r>
        <w:t xml:space="preserve">, statut : à fournir/déposé/en vérification/à corriger/validé) + </w:t>
      </w:r>
      <w:r>
        <w:rPr>
          <w:rFonts w:ascii="Consolas" w:cs="Consolas" w:eastAsia="Consolas" w:hAnsi="Consolas"/>
          <w:color w:val="AF3A03"/>
        </w:rPr>
        <w:t xml:space="preserve">document_checklists</w:t>
      </w:r>
      <w:r>
        <w:t xml:space="preserve">.</w:t>
      </w:r>
    </w:p>
    <w:p>
      <w:pPr>
        <w:pStyle w:val="ListParagraph"/>
        <w:numPr>
          <w:ilvl w:val="0"/>
          <w:numId w:val="2"/>
        </w:numPr>
        <w:spacing w:after="100"/>
      </w:pPr>
      <w:r>
        <w:rPr>
          <w:b/>
          <w:bCs/>
        </w:rPr>
        <w:t xml:space="preserve">RBAC</w:t>
      </w:r>
      <w:r>
        <w:t xml:space="preserve"> : </w:t>
      </w:r>
      <w:r>
        <w:rPr>
          <w:rFonts w:ascii="Consolas" w:cs="Consolas" w:eastAsia="Consolas" w:hAnsi="Consolas"/>
          <w:color w:val="AF3A03"/>
        </w:rPr>
        <w:t xml:space="preserve">roles</w:t>
      </w:r>
      <w:r>
        <w:t xml:space="preserve">, </w:t>
      </w:r>
      <w:r>
        <w:rPr>
          <w:rFonts w:ascii="Consolas" w:cs="Consolas" w:eastAsia="Consolas" w:hAnsi="Consolas"/>
          <w:color w:val="AF3A03"/>
        </w:rPr>
        <w:t xml:space="preserve">permissions</w:t>
      </w:r>
      <w:r>
        <w:t xml:space="preserve">, </w:t>
      </w:r>
      <w:r>
        <w:rPr>
          <w:rFonts w:ascii="Consolas" w:cs="Consolas" w:eastAsia="Consolas" w:hAnsi="Consolas"/>
          <w:color w:val="AF3A03"/>
        </w:rPr>
        <w:t xml:space="preserve">role_permissions</w:t>
      </w:r>
      <w:r>
        <w:t xml:space="preserve">, </w:t>
      </w:r>
      <w:r>
        <w:rPr>
          <w:rFonts w:ascii="Consolas" w:cs="Consolas" w:eastAsia="Consolas" w:hAnsi="Consolas"/>
          <w:color w:val="AF3A03"/>
        </w:rPr>
        <w:t xml:space="preserve">user_roles</w:t>
      </w:r>
      <w:r>
        <w:t xml:space="preserve"> — jamais de rôle en dur dans le code métier, uniquement des checks de permission.</w:t>
      </w:r>
    </w:p>
    <w:p>
      <w:pPr>
        <w:pStyle w:val="ListParagraph"/>
        <w:numPr>
          <w:ilvl w:val="0"/>
          <w:numId w:val="2"/>
        </w:numPr>
        <w:spacing w:after="100"/>
      </w:pPr>
      <w:r>
        <w:rPr>
          <w:b/>
          <w:bCs/>
        </w:rPr>
        <w:t xml:space="preserve">Paiements</w:t>
      </w:r>
      <w:r>
        <w:t xml:space="preserve"> : table </w:t>
      </w:r>
      <w:r>
        <w:rPr>
          <w:rFonts w:ascii="Consolas" w:cs="Consolas" w:eastAsia="Consolas" w:hAnsi="Consolas"/>
          <w:color w:val="AF3A03"/>
        </w:rPr>
        <w:t xml:space="preserve">payments</w:t>
      </w:r>
      <w:r>
        <w:t xml:space="preserve"> avec </w:t>
      </w:r>
      <w:r>
        <w:rPr>
          <w:rFonts w:ascii="Consolas" w:cs="Consolas" w:eastAsia="Consolas" w:hAnsi="Consolas"/>
          <w:color w:val="AF3A03"/>
        </w:rPr>
        <w:t xml:space="preserve">method</w:t>
      </w:r>
      <w:r>
        <w:t xml:space="preserve"> en </w:t>
      </w:r>
      <w:r>
        <w:rPr>
          <w:rFonts w:ascii="Consolas" w:cs="Consolas" w:eastAsia="Consolas" w:hAnsi="Consolas"/>
          <w:color w:val="AF3A03"/>
        </w:rPr>
        <w:t xml:space="preserve">enum</w:t>
      </w:r>
      <w:r>
        <w:t xml:space="preserve"> extensible — </w:t>
      </w:r>
      <w:r>
        <w:rPr>
          <w:rFonts w:ascii="Consolas" w:cs="Consolas" w:eastAsia="Consolas" w:hAnsi="Consolas"/>
          <w:color w:val="AF3A03"/>
        </w:rPr>
        <w:t xml:space="preserve">hors_ligne</w:t>
      </w:r>
      <w:r>
        <w:t xml:space="preserve"> et </w:t>
      </w:r>
      <w:r>
        <w:rPr>
          <w:rFonts w:ascii="Consolas" w:cs="Consolas" w:eastAsia="Consolas" w:hAnsi="Consolas"/>
          <w:color w:val="AF3A03"/>
        </w:rPr>
        <w:t xml:space="preserve">depot_bancaire</w:t>
      </w:r>
      <w:r>
        <w:t xml:space="preserve"> actifs dès la V1, </w:t>
      </w:r>
      <w:r>
        <w:rPr>
          <w:rFonts w:ascii="Consolas" w:cs="Consolas" w:eastAsia="Consolas" w:hAnsi="Consolas"/>
          <w:color w:val="AF3A03"/>
        </w:rPr>
        <w:t xml:space="preserve">semoa</w:t>
      </w:r>
      <w:r>
        <w:t xml:space="preserve"> réservé pour la Phase 6 — et </w:t>
      </w:r>
      <w:r>
        <w:rPr>
          <w:rFonts w:ascii="Consolas" w:cs="Consolas" w:eastAsia="Consolas" w:hAnsi="Consolas"/>
          <w:color w:val="AF3A03"/>
        </w:rPr>
        <w:t xml:space="preserve">status</w:t>
      </w:r>
      <w:r>
        <w:t xml:space="preserve"> (non payé/en attente de validation/payé/exonéré), plus </w:t>
      </w:r>
      <w:r>
        <w:rPr>
          <w:rFonts w:ascii="Consolas" w:cs="Consolas" w:eastAsia="Consolas" w:hAnsi="Consolas"/>
          <w:color w:val="AF3A03"/>
        </w:rPr>
        <w:t xml:space="preserve">payment_events</w:t>
      </w:r>
      <w:r>
        <w:t xml:space="preserve"> pour tracer chaque transition.</w:t>
      </w:r>
    </w:p>
    <w:p>
      <w:pPr>
        <w:pStyle w:val="ListParagraph"/>
        <w:numPr>
          <w:ilvl w:val="0"/>
          <w:numId w:val="2"/>
        </w:numPr>
        <w:spacing w:after="100"/>
      </w:pPr>
      <w:r>
        <w:rPr>
          <w:b/>
          <w:bCs/>
        </w:rPr>
        <w:t xml:space="preserve">Audit log</w:t>
      </w:r>
      <w:r>
        <w:t xml:space="preserve"> : table </w:t>
      </w:r>
      <w:r>
        <w:rPr>
          <w:rFonts w:ascii="Consolas" w:cs="Consolas" w:eastAsia="Consolas" w:hAnsi="Consolas"/>
          <w:color w:val="AF3A03"/>
        </w:rPr>
        <w:t xml:space="preserve">audit_logs</w:t>
      </w:r>
      <w:r>
        <w:t xml:space="preserve"> générique (</w:t>
      </w:r>
      <w:r>
        <w:rPr>
          <w:rFonts w:ascii="Consolas" w:cs="Consolas" w:eastAsia="Consolas" w:hAnsi="Consolas"/>
          <w:color w:val="AF3A03"/>
        </w:rPr>
        <w:t xml:space="preserve">entity_type</w:t>
      </w:r>
      <w:r>
        <w:t xml:space="preserve">, </w:t>
      </w:r>
      <w:r>
        <w:rPr>
          <w:rFonts w:ascii="Consolas" w:cs="Consolas" w:eastAsia="Consolas" w:hAnsi="Consolas"/>
          <w:color w:val="AF3A03"/>
        </w:rPr>
        <w:t xml:space="preserve">entity_id</w:t>
      </w:r>
      <w:r>
        <w:t xml:space="preserve">, </w:t>
      </w:r>
      <w:r>
        <w:rPr>
          <w:rFonts w:ascii="Consolas" w:cs="Consolas" w:eastAsia="Consolas" w:hAnsi="Consolas"/>
          <w:color w:val="AF3A03"/>
        </w:rPr>
        <w:t xml:space="preserve">actor_id</w:t>
      </w:r>
      <w:r>
        <w:t xml:space="preserve">, </w:t>
      </w:r>
      <w:r>
        <w:rPr>
          <w:rFonts w:ascii="Consolas" w:cs="Consolas" w:eastAsia="Consolas" w:hAnsi="Consolas"/>
          <w:color w:val="AF3A03"/>
        </w:rPr>
        <w:t xml:space="preserve">action</w:t>
      </w:r>
      <w:r>
        <w:t xml:space="preserve">, </w:t>
      </w:r>
      <w:r>
        <w:rPr>
          <w:rFonts w:ascii="Consolas" w:cs="Consolas" w:eastAsia="Consolas" w:hAnsi="Consolas"/>
          <w:color w:val="AF3A03"/>
        </w:rPr>
        <w:t xml:space="preserve">diff</w:t>
      </w:r>
      <w:r>
        <w:t xml:space="preserve">, </w:t>
      </w:r>
      <w:r>
        <w:rPr>
          <w:rFonts w:ascii="Consolas" w:cs="Consolas" w:eastAsia="Consolas" w:hAnsi="Consolas"/>
          <w:color w:val="AF3A03"/>
        </w:rPr>
        <w:t xml:space="preserve">created_at</w:t>
      </w:r>
      <w:r>
        <w:t xml:space="preserve">) alimentée par un middleware Nest.</w:t>
      </w:r>
    </w:p>
    <w:p>
      <w:pPr>
        <w:pStyle w:val="ListParagraph"/>
        <w:numPr>
          <w:ilvl w:val="0"/>
          <w:numId w:val="2"/>
        </w:numPr>
        <w:spacing w:after="100"/>
      </w:pPr>
      <w:r>
        <w:rPr>
          <w:b/>
          <w:bCs/>
        </w:rPr>
        <w:t xml:space="preserve">Partitionnement</w:t>
      </w:r>
      <w:r>
        <w:t xml:space="preserve"> : à 2 000 dossiers, Postgres seul est largement suffisant ; prévoir des index sur les colonnes de recherche/filtre.</w:t>
      </w:r>
    </w:p>
    <w:p>
      <w:pPr>
        <w:pStyle w:val="Heading2"/>
        <w:spacing w:after="160" w:before="300"/>
      </w:pPr>
      <w:r>
        <w:t xml:space="preserve">2.4 Redis — usages concrets</w:t>
      </w:r>
    </w:p>
    <w:p>
      <w:pPr>
        <w:pStyle w:val="ListParagraph"/>
        <w:numPr>
          <w:ilvl w:val="0"/>
          <w:numId w:val="4"/>
        </w:numPr>
        <w:spacing w:after="100"/>
      </w:pPr>
      <w:r>
        <w:rPr>
          <w:b/>
          <w:bCs/>
        </w:rPr>
        <w:t xml:space="preserve">Sessions et 2FA</w:t>
      </w:r>
      <w:r>
        <w:t xml:space="preserve"> : code de vérification à durée de vie courte (TTL natif Redis).</w:t>
      </w:r>
    </w:p>
    <w:p>
      <w:pPr>
        <w:pStyle w:val="ListParagraph"/>
        <w:numPr>
          <w:ilvl w:val="0"/>
          <w:numId w:val="4"/>
        </w:numPr>
        <w:spacing w:after="100"/>
      </w:pPr>
      <w:r>
        <w:rPr>
          <w:b/>
          <w:bCs/>
        </w:rPr>
        <w:t xml:space="preserve">Rate limiting</w:t>
      </w:r>
      <w:r>
        <w:t xml:space="preserve"> : authentification, envoi de code 2FA, upload de documents, via </w:t>
      </w:r>
      <w:r>
        <w:rPr>
          <w:rFonts w:ascii="Consolas" w:cs="Consolas" w:eastAsia="Consolas" w:hAnsi="Consolas"/>
          <w:color w:val="AF3A03"/>
        </w:rPr>
        <w:t xml:space="preserve">rate-limiter-flexible</w:t>
      </w:r>
      <w:r>
        <w:t xml:space="preserve">.</w:t>
      </w:r>
    </w:p>
    <w:p>
      <w:pPr>
        <w:pStyle w:val="ListParagraph"/>
        <w:numPr>
          <w:ilvl w:val="0"/>
          <w:numId w:val="4"/>
        </w:numPr>
        <w:spacing w:after="100"/>
      </w:pPr>
      <w:r>
        <w:rPr>
          <w:b/>
          <w:bCs/>
        </w:rPr>
        <w:t xml:space="preserve">File de jobs</w:t>
      </w:r>
      <w:r>
        <w:t xml:space="preserve"> : backend de BullMQ (emails, exports, génération PDF y compris les reçus de bordereau validés ; le webhook Semoa rejoindra cette liste en Phase 6).</w:t>
      </w:r>
    </w:p>
    <w:p>
      <w:pPr>
        <w:pStyle w:val="ListParagraph"/>
        <w:numPr>
          <w:ilvl w:val="0"/>
          <w:numId w:val="4"/>
        </w:numPr>
        <w:spacing w:after="100"/>
      </w:pPr>
      <w:r>
        <w:rPr>
          <w:b/>
          <w:bCs/>
        </w:rPr>
        <w:t xml:space="preserve">Cache applicatif</w:t>
      </w:r>
      <w:r>
        <w:t xml:space="preserve"> : catalogue de formations, agrégats de tableaux de bord back-office (TTL court).</w:t>
      </w:r>
    </w:p>
    <w:p>
      <w:pPr>
        <w:pStyle w:val="ListParagraph"/>
        <w:numPr>
          <w:ilvl w:val="0"/>
          <w:numId w:val="4"/>
        </w:numPr>
        <w:spacing w:after="100"/>
      </w:pPr>
      <w:r>
        <w:rPr>
          <w:b/>
          <w:bCs/>
        </w:rPr>
        <w:t xml:space="preserve">Verrous distribués</w:t>
      </w:r>
      <w:r>
        <w:t xml:space="preserve"> (optionnel V2) : évite les écritures concurrentes sur le changement d'étape.</w:t>
      </w:r>
    </w:p>
    <w:p>
      <w:pPr>
        <w:pStyle w:val="Heading2"/>
        <w:spacing w:after="160" w:before="300"/>
      </w:pPr>
      <w:r>
        <w:t xml:space="preserve">2.5 Authentification &amp; sécurité</w:t>
      </w:r>
    </w:p>
    <w:p>
      <w:pPr>
        <w:pStyle w:val="ListParagraph"/>
        <w:numPr>
          <w:ilvl w:val="0"/>
          <w:numId w:val="2"/>
        </w:numPr>
        <w:spacing w:after="100"/>
      </w:pPr>
      <w:r>
        <w:t xml:space="preserve">JWT access token courte durée + refresh token en cookie httpOnly, scopés par domaine/sous-domaine (site+candidat / back-office).</w:t>
      </w:r>
    </w:p>
    <w:p>
      <w:pPr>
        <w:pStyle w:val="ListParagraph"/>
        <w:numPr>
          <w:ilvl w:val="0"/>
          <w:numId w:val="2"/>
        </w:numPr>
        <w:spacing w:after="100"/>
      </w:pPr>
      <w:r>
        <w:t xml:space="preserve">2FA email pour les candidats, </w:t>
      </w:r>
      <w:r>
        <w:rPr>
          <w:b/>
          <w:bCs/>
        </w:rPr>
        <w:t xml:space="preserve">MFA non négociable</w:t>
      </w:r>
      <w:r>
        <w:t xml:space="preserve"> pour agents/superviseurs/administrateurs (TOTP recommandé pour les rôles internes).</w:t>
      </w:r>
    </w:p>
    <w:p>
      <w:pPr>
        <w:pStyle w:val="ListParagraph"/>
        <w:numPr>
          <w:ilvl w:val="0"/>
          <w:numId w:val="2"/>
        </w:numPr>
        <w:spacing w:after="100"/>
      </w:pPr>
      <w:r>
        <w:t xml:space="preserve">Validation stricte des uploads : extension + MIME réel + taille + scan antivirus avant passage en statut « déposé ».</w:t>
      </w:r>
    </w:p>
    <w:p>
      <w:pPr>
        <w:pStyle w:val="ListParagraph"/>
        <w:numPr>
          <w:ilvl w:val="0"/>
          <w:numId w:val="2"/>
        </w:numPr>
        <w:spacing w:after="100"/>
      </w:pPr>
      <w:r>
        <w:t xml:space="preserve">Chiffrement au repos pour les champs sensibles, TLS partout, secrets en gestionnaire dédié (Doppler, Infisical).</w:t>
      </w:r>
    </w:p>
    <w:p>
      <w:pPr>
        <w:pStyle w:val="ListParagraph"/>
        <w:numPr>
          <w:ilvl w:val="0"/>
          <w:numId w:val="2"/>
        </w:numPr>
        <w:spacing w:after="100"/>
      </w:pPr>
      <w:r>
        <w:t xml:space="preserve">RGPD : la politique de rétention (illimité vs durée déterminée) doit être tranchée avant la mise en prod — je recommande une durée déterminée avec purge automatisée programmable, plus défendable juridiquement et plus simple à opérer.</w:t>
      </w:r>
    </w:p>
    <w:p>
      <w:pPr>
        <w:pStyle w:val="ListParagraph"/>
        <w:numPr>
          <w:ilvl w:val="0"/>
          <w:numId w:val="2"/>
        </w:numPr>
        <w:spacing w:after="100"/>
      </w:pPr>
      <w:r>
        <w:rPr>
          <w:b/>
          <w:bCs/>
        </w:rPr>
        <w:t xml:space="preserve">Modules externes pour la conformité RGPD</w:t>
      </w:r>
      <w:r>
        <w:t xml:space="preserve"> : aucun outil ne peut se substituer à la décision de durée de rétention elle-même — c'est un choix juridique propre à Campus One. Des briques externes peuvent en revanche implémenter la conformité une fois la politique actée : une plateforme de gestion du consentement (Axeptio, Didomi, Cookiebot) pour les cookies/analytics du site vitrine, un accompagnement DPO externe pour le registre des traitements et l'AIPD si nécessaire. À ce volume (500 à 2 000 dossiers), un simple workflow back-office suffit pour les demandes d'exercice de droits. Le journal d'audit et la purge programmée restent construits en interne, trop couplés au modèle de données des dossiers pour être délégués à un module tiers générique.</w:t>
      </w:r>
    </w:p>
    <w:p>
      <w:pPr>
        <w:pStyle w:val="Heading2"/>
        <w:spacing w:after="160" w:before="300"/>
      </w:pPr>
      <w:r>
        <w:t xml:space="preserve">2.6 DevOps &amp; infrastructure</w:t>
      </w:r>
    </w:p>
    <w:p>
      <w:pPr>
        <w:pStyle w:val="ListParagraph"/>
        <w:numPr>
          <w:ilvl w:val="0"/>
          <w:numId w:val="2"/>
        </w:numPr>
        <w:spacing w:after="100"/>
      </w:pPr>
      <w:r>
        <w:rPr>
          <w:b/>
          <w:bCs/>
        </w:rPr>
        <w:t xml:space="preserve">Hébergement</w:t>
      </w:r>
      <w:r>
        <w:t xml:space="preserve"> : serveur Contabo (imposé), Docker Compose pour orchestrer API/Next.js/Postgres/Redis/worker. Envisager </w:t>
      </w:r>
      <w:r>
        <w:rPr>
          <w:b/>
          <w:bCs/>
        </w:rPr>
        <w:t xml:space="preserve">Coolify</w:t>
      </w:r>
      <w:r>
        <w:t xml:space="preserve"> ou </w:t>
      </w:r>
      <w:r>
        <w:rPr>
          <w:b/>
          <w:bCs/>
        </w:rPr>
        <w:t xml:space="preserve">Dokploy</w:t>
      </w:r>
      <w:r>
        <w:t xml:space="preserve"> pour simplifier déploiement/rollback/logs.</w:t>
      </w:r>
    </w:p>
    <w:p>
      <w:pPr>
        <w:pStyle w:val="ListParagraph"/>
        <w:numPr>
          <w:ilvl w:val="0"/>
          <w:numId w:val="2"/>
        </w:numPr>
        <w:spacing w:after="100"/>
      </w:pPr>
      <w:r>
        <w:rPr>
          <w:b/>
          <w:bCs/>
        </w:rPr>
        <w:t xml:space="preserve">Environnements</w:t>
      </w:r>
      <w:r>
        <w:t xml:space="preserve"> : dev / staging / production strictement séparés, avec bases de données distinctes.</w:t>
      </w:r>
    </w:p>
    <w:p>
      <w:pPr>
        <w:pStyle w:val="ListParagraph"/>
        <w:numPr>
          <w:ilvl w:val="0"/>
          <w:numId w:val="2"/>
        </w:numPr>
        <w:spacing w:after="100"/>
      </w:pPr>
      <w:r>
        <w:rPr>
          <w:b/>
          <w:bCs/>
        </w:rPr>
        <w:t xml:space="preserve">CI/CD</w:t>
      </w:r>
      <w:r>
        <w:t xml:space="preserve"> : GitHub Actions — lint, typecheck, tests, build, déploiement automatique sur staging, déploiement prod manuel/validé.</w:t>
      </w:r>
    </w:p>
    <w:p>
      <w:pPr>
        <w:pStyle w:val="ListParagraph"/>
        <w:numPr>
          <w:ilvl w:val="0"/>
          <w:numId w:val="2"/>
        </w:numPr>
        <w:spacing w:after="100"/>
      </w:pPr>
      <w:r>
        <w:rPr>
          <w:b/>
          <w:bCs/>
        </w:rPr>
        <w:t xml:space="preserve">Cloudflare</w:t>
      </w:r>
      <w:r>
        <w:t xml:space="preserve"> : DNS, proxy, cache des assets statiques, WAF sur les routes sensibles (login, upload).</w:t>
      </w:r>
    </w:p>
    <w:p>
      <w:pPr>
        <w:pStyle w:val="ListParagraph"/>
        <w:numPr>
          <w:ilvl w:val="0"/>
          <w:numId w:val="2"/>
        </w:numPr>
        <w:spacing w:after="100"/>
      </w:pPr>
      <w:r>
        <w:rPr>
          <w:b/>
          <w:bCs/>
        </w:rPr>
        <w:t xml:space="preserve">Sauvegardes</w:t>
      </w:r>
      <w:r>
        <w:t xml:space="preserve"> : </w:t>
      </w:r>
      <w:r>
        <w:rPr>
          <w:rFonts w:ascii="Consolas" w:cs="Consolas" w:eastAsia="Consolas" w:hAnsi="Consolas"/>
          <w:color w:val="AF3A03"/>
        </w:rPr>
        <w:t xml:space="preserve">pg_dump</w:t>
      </w:r>
      <w:r>
        <w:t xml:space="preserve"> automatisé quotidien + rétention 30 jours minimum, réplication du stockage objet, procédure de restauration </w:t>
      </w:r>
      <w:r>
        <w:rPr>
          <w:b/>
          <w:bCs/>
        </w:rPr>
        <w:t xml:space="preserve">testée</w:t>
      </w:r>
      <w:r>
        <w:t xml:space="preserve"> avant mise en production.</w:t>
      </w:r>
    </w:p>
    <w:p>
      <w:pPr>
        <w:pStyle w:val="ListParagraph"/>
        <w:numPr>
          <w:ilvl w:val="0"/>
          <w:numId w:val="2"/>
        </w:numPr>
        <w:spacing w:after="100"/>
      </w:pPr>
      <w:r>
        <w:rPr>
          <w:b/>
          <w:bCs/>
        </w:rPr>
        <w:t xml:space="preserve">Observabilité</w:t>
      </w:r>
      <w:r>
        <w:t xml:space="preserve"> : Sentry, logs structurés centralisés, uptime monitoring externe.</w:t>
      </w:r>
    </w:p>
    <w:p>
      <w:pPr>
        <w:pStyle w:val="ListParagraph"/>
        <w:numPr>
          <w:ilvl w:val="0"/>
          <w:numId w:val="2"/>
        </w:numPr>
        <w:spacing w:after="100"/>
      </w:pPr>
      <w:r>
        <w:rPr>
          <w:b/>
          <w:bCs/>
        </w:rPr>
        <w:t xml:space="preserve">Localisation des données</w:t>
      </w:r>
      <w:r>
        <w:t xml:space="preserve"> : hébergement UE requis pour les données sensibles si des résidents européens sont concernés — vérifier la région du datacenter Contabo.</w:t>
      </w:r>
    </w:p>
    <w:p>
      <w:pPr>
        <w:pStyle w:val="Heading1"/>
        <w:spacing w:after="200" w:before="400"/>
      </w:pPr>
      <w:r>
        <w:t xml:space="preserve">3. UI/UX — approche par surface</w:t>
      </w:r>
    </w:p>
    <w:p>
      <w:pPr>
        <w:spacing w:after="160"/>
      </w:pPr>
      <w:r>
        <w:t xml:space="preserve">Trois publics, trois logiques de design, un seul design system pour garder la cohérence de marque.</w:t>
      </w:r>
    </w:p>
    <w:p>
      <w:pPr>
        <w:pStyle w:val="Heading2"/>
        <w:spacing w:after="160" w:before="300"/>
      </w:pPr>
      <w:r>
        <w:t xml:space="preserve">3.1 Design system commun</w:t>
      </w:r>
    </w:p>
    <w:p>
      <w:pPr>
        <w:pStyle w:val="ListParagraph"/>
        <w:numPr>
          <w:ilvl w:val="0"/>
          <w:numId w:val="2"/>
        </w:numPr>
        <w:spacing w:after="100"/>
      </w:pPr>
      <w:r>
        <w:t xml:space="preserve">Fondations : palette de marque « Campus One » (premium, rassurant, international), typographie, espacements, composants (boutons, champs, cartes, badges de statut, timeline) construits une fois dans </w:t>
      </w:r>
      <w:r>
        <w:rPr>
          <w:rFonts w:ascii="Consolas" w:cs="Consolas" w:eastAsia="Consolas" w:hAnsi="Consolas"/>
          <w:color w:val="AF3A03"/>
        </w:rPr>
        <w:t xml:space="preserve">packages/ui</w:t>
      </w:r>
      <w:r>
        <w:t xml:space="preserve">.</w:t>
      </w:r>
    </w:p>
    <w:p>
      <w:pPr>
        <w:pStyle w:val="ListParagraph"/>
        <w:numPr>
          <w:ilvl w:val="0"/>
          <w:numId w:val="2"/>
        </w:numPr>
        <w:spacing w:after="100"/>
      </w:pPr>
      <w:r>
        <w:t xml:space="preserve">Stack UI recommandée : Tailwind CSS + shadcn/ui comme base de composants accessibles, personnalisés aux tokens de marque.</w:t>
      </w:r>
    </w:p>
    <w:p>
      <w:pPr>
        <w:pStyle w:val="ListParagraph"/>
        <w:numPr>
          <w:ilvl w:val="0"/>
          <w:numId w:val="2"/>
        </w:numPr>
        <w:spacing w:after="100"/>
      </w:pPr>
      <w:r>
        <w:t xml:space="preserve">Accessibilité WCAG 2.1 AA dès la conception — particulièrement important sur l'espace candidat, utilisé par un public large sur mobile.</w:t>
      </w:r>
    </w:p>
    <w:p>
      <w:pPr>
        <w:spacing w:after="160"/>
      </w:pPr>
      <w:r>
        <w:t xml:space="preserve">Les sections 3.2 et 3.3 restent deux logiques UX distinctes (conversion vs suivi de dossier), mais elles vivent dans la </w:t>
      </w:r>
      <w:r>
        <w:rPr>
          <w:b/>
          <w:bCs/>
        </w:rPr>
        <w:t xml:space="preserve">même application</w:t>
      </w:r>
      <w:r>
        <w:t xml:space="preserve"> : le header public affiche « Mon espace » comme un lien standard, qui bascule sur le layout authentifié sans rechargement complet ni changement de nom de domaine.</w:t>
      </w:r>
    </w:p>
    <w:p>
      <w:pPr>
        <w:pStyle w:val="Heading2"/>
        <w:spacing w:after="160" w:before="300"/>
      </w:pPr>
      <w:r>
        <w:t xml:space="preserve">3.2 Site vitrine</w:t>
      </w:r>
    </w:p>
    <w:p>
      <w:pPr>
        <w:pStyle w:val="ListParagraph"/>
        <w:numPr>
          <w:ilvl w:val="0"/>
          <w:numId w:val="2"/>
        </w:numPr>
        <w:spacing w:after="100"/>
      </w:pPr>
      <w:r>
        <w:t xml:space="preserve">Priorité conversion : hiérarchie visuelle claire vers « Trouver ma formation » / « Candidater », preuve sociale, temps de chargement (SSG/ISR, Core Web Vitals soignés pour le SEO).</w:t>
      </w:r>
    </w:p>
    <w:p>
      <w:pPr>
        <w:pStyle w:val="ListParagraph"/>
        <w:numPr>
          <w:ilvl w:val="0"/>
          <w:numId w:val="2"/>
        </w:numPr>
        <w:spacing w:after="100"/>
      </w:pPr>
      <w:r>
        <w:t xml:space="preserve">Catalogue et fiche formation : le vrai moteur de conversion — filtres rapides, résultats scannables, CTA « Candidater » visible sans scroll.</w:t>
      </w:r>
    </w:p>
    <w:p>
      <w:pPr>
        <w:pStyle w:val="ListParagraph"/>
        <w:numPr>
          <w:ilvl w:val="0"/>
          <w:numId w:val="2"/>
        </w:numPr>
        <w:spacing w:after="100"/>
      </w:pPr>
      <w:r>
        <w:t xml:space="preserve">Mobile-first strict : cible prioritaire l'Afrique francophone, navigation majoritairement sur smartphone en réseau mobile.</w:t>
      </w:r>
    </w:p>
    <w:p>
      <w:pPr>
        <w:pStyle w:val="Heading2"/>
        <w:spacing w:after="160" w:before="300"/>
      </w:pPr>
      <w:r>
        <w:t xml:space="preserve">3.3 Espace candidat</w:t>
      </w:r>
    </w:p>
    <w:p>
      <w:pPr>
        <w:pStyle w:val="ListParagraph"/>
        <w:numPr>
          <w:ilvl w:val="0"/>
          <w:numId w:val="2"/>
        </w:numPr>
        <w:spacing w:after="100"/>
      </w:pPr>
      <w:r>
        <w:t xml:space="preserve">Le candidat n'a </w:t>
      </w:r>
      <w:r>
        <w:rPr>
          <w:b/>
          <w:bCs/>
        </w:rPr>
        <w:t xml:space="preserve">aucune tolérance à l'ambiguïté</w:t>
      </w:r>
      <w:r>
        <w:t xml:space="preserve"> : la timeline de statut doit être visible en permanence, pas enterrée dans un onglet.</w:t>
      </w:r>
    </w:p>
    <w:p>
      <w:pPr>
        <w:pStyle w:val="ListParagraph"/>
        <w:numPr>
          <w:ilvl w:val="0"/>
          <w:numId w:val="2"/>
        </w:numPr>
        <w:spacing w:after="100"/>
      </w:pPr>
      <w:r>
        <w:t xml:space="preserve">Formulaire de candidature en 5 étapes : wizard avec sauvegarde automatique, barre de progression, validation inline.</w:t>
      </w:r>
    </w:p>
    <w:p>
      <w:pPr>
        <w:pStyle w:val="ListParagraph"/>
        <w:numPr>
          <w:ilvl w:val="0"/>
          <w:numId w:val="2"/>
        </w:numPr>
        <w:spacing w:after="100"/>
      </w:pPr>
      <w:r>
        <w:t xml:space="preserve">Upload de documents : feedback immédiat par fichier (en cours / validé / rejeté avec motif) — l'écran le plus anxiogène du parcours, il mérite le plus de soin UX.</w:t>
      </w:r>
    </w:p>
    <w:p>
      <w:pPr>
        <w:pStyle w:val="ListParagraph"/>
        <w:numPr>
          <w:ilvl w:val="0"/>
          <w:numId w:val="2"/>
        </w:numPr>
        <w:spacing w:after="100"/>
      </w:pPr>
      <w:r>
        <w:t xml:space="preserve">Page « Remarques » : doit se comporter comme une conversation actionnable, pas une liste de commentaires bruts.</w:t>
      </w:r>
    </w:p>
    <w:p>
      <w:pPr>
        <w:pStyle w:val="ListParagraph"/>
        <w:numPr>
          <w:ilvl w:val="0"/>
          <w:numId w:val="2"/>
        </w:numPr>
        <w:spacing w:after="100"/>
      </w:pPr>
      <w:r>
        <w:t xml:space="preserve">Paiement (V1) : écran de choix entre « règlement en agence » et « dépôt bancaire » (RIB + référence unique, upload du bordereau, statut « en attente de validation » explicite). Prévoir l'emplacement pour accueillir Semoa sans redesign en Phase 6.</w:t>
      </w:r>
    </w:p>
    <w:p>
      <w:pPr>
        <w:pStyle w:val="Heading2"/>
        <w:spacing w:after="160" w:before="300"/>
      </w:pPr>
      <w:r>
        <w:t xml:space="preserve">3.4 Back-office</w:t>
      </w:r>
    </w:p>
    <w:p>
      <w:pPr>
        <w:pStyle w:val="ListParagraph"/>
        <w:numPr>
          <w:ilvl w:val="0"/>
          <w:numId w:val="2"/>
        </w:numPr>
        <w:spacing w:after="100"/>
      </w:pPr>
      <w:r>
        <w:t xml:space="preserve">Optimisé pour la répétition et la vitesse d'exécution : tables denses, filtres persistants, actions en masse, raccourcis clavier.</w:t>
      </w:r>
    </w:p>
    <w:p>
      <w:pPr>
        <w:pStyle w:val="ListParagraph"/>
        <w:numPr>
          <w:ilvl w:val="0"/>
          <w:numId w:val="2"/>
        </w:numPr>
        <w:spacing w:after="100"/>
      </w:pPr>
      <w:r>
        <w:t xml:space="preserve">Le moteur d'étapes configurable a besoin d'une interface d'admin dédiée, pensée comme un mini-éditeur de workflow — l'écran le plus critique du back-office.</w:t>
      </w:r>
    </w:p>
    <w:p>
      <w:pPr>
        <w:pStyle w:val="ListParagraph"/>
        <w:numPr>
          <w:ilvl w:val="0"/>
          <w:numId w:val="2"/>
        </w:numPr>
        <w:spacing w:after="100"/>
      </w:pPr>
      <w:r>
        <w:t xml:space="preserve">Tableau de bord : indicateurs actionnables (dossiers en attente d'action aujourd'hui) plutôt que de simples compteurs statiques.</w:t>
      </w:r>
    </w:p>
    <w:p>
      <w:pPr>
        <w:pStyle w:val="ListParagraph"/>
        <w:numPr>
          <w:ilvl w:val="0"/>
          <w:numId w:val="2"/>
        </w:numPr>
        <w:spacing w:after="100"/>
      </w:pPr>
      <w:r>
        <w:t xml:space="preserve">Permissions visibles dans l'UI : un « Gestionnaire simple » ne doit jamais voir un bouton qu'il n'a pas le droit d'actionner.</w:t>
      </w:r>
    </w:p>
    <w:p>
      <w:pPr>
        <w:pStyle w:val="Heading2"/>
        <w:spacing w:after="160" w:before="300"/>
      </w:pPr>
      <w:r>
        <w:t xml:space="preserve">3.5 Processus de conception recommandé</w:t>
      </w:r>
    </w:p>
    <w:p>
      <w:pPr>
        <w:spacing w:after="160"/>
      </w:pPr>
      <w:r>
        <w:t xml:space="preserve">Wireframes basse fidélité → design system → maquettes haute fidélité par surface → prototype cliquable pour le parcours candidat → test utilisateur léger (3-5 candidats types) → design handoff (specs, tokens, états) à l'équipe de développement.</w:t>
      </w:r>
    </w:p>
    <w:p>
      <w:pPr>
        <w:pStyle w:val="Heading1"/>
        <w:spacing w:after="200" w:before="400"/>
      </w:pPr>
      <w:r>
        <w:t xml:space="preserve">4. Roadmap</w:t>
      </w:r>
    </w:p>
    <w:p>
      <w:pPr>
        <w:spacing w:after="160"/>
      </w:pPr>
      <w:r>
        <w:t xml:space="preserve">Je conserve les 3 phases macro du cahier des charges (site → espace candidat → plateforme complète) mais je les détaille par discipline, avec des jalons plus fins que le calendrier « Semaine 1 / Semaine 2 » du document source.</w:t>
      </w:r>
    </w:p>
    <w:p>
      <w:pPr>
        <w:pStyle w:val="Heading2"/>
        <w:spacing w:after="160" w:before="300"/>
      </w:pPr>
      <w:r>
        <w:t xml:space="preserve">Phase 0 — Cadrage &amp; conception (2 semaines)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1E3A5F" w:val="clear"/>
            <w:tcMar>
              <w:top w:type="dxa" w:w="100"/>
              <w:left w:type="dxa" w:w="120"/>
              <w:bottom w:type="dxa" w:w="100"/>
              <w:right w:type="dxa" w:w="120"/>
            </w:tcMar>
          </w:tcPr>
          <w:p>
            <w:r>
              <w:rPr>
                <w:b/>
                <w:bCs/>
                <w:color w:val="FFFFFF"/>
              </w:rPr>
              <w:t xml:space="preserve">Chantier</w:t>
            </w:r>
          </w:p>
        </w:tc>
        <w:tc>
          <w:tcPr>
            <w:tcW w:type="pct" w:w="75%"/>
            <w:shd w:fill="1E3A5F" w:val="clear"/>
            <w:tcMar>
              <w:top w:type="dxa" w:w="100"/>
              <w:left w:type="dxa" w:w="120"/>
              <w:bottom w:type="dxa" w:w="100"/>
              <w:right w:type="dxa" w:w="120"/>
            </w:tcMar>
          </w:tcPr>
          <w:p>
            <w:r>
              <w:rPr>
                <w:b/>
                <w:bCs/>
                <w:color w:val="FFFFFF"/>
              </w:rPr>
              <w:t xml:space="preserve">Livrables</w:t>
            </w:r>
          </w:p>
        </w:tc>
      </w:tr>
      <w:tr>
        <w:tc>
          <w:tcPr>
            <w:tcW w:type="pct" w:w="33%"/>
            <w:tcMar>
              <w:top w:type="dxa" w:w="100"/>
              <w:left w:type="dxa" w:w="120"/>
              <w:bottom w:type="dxa" w:w="100"/>
              <w:right w:type="dxa" w:w="120"/>
            </w:tcMar>
          </w:tcPr>
          <w:p>
            <w:r>
              <w:t xml:space="preserve">Architecture</w:t>
            </w:r>
          </w:p>
        </w:tc>
        <w:tc>
          <w:tcPr>
            <w:tcW w:type="pct" w:w="33%"/>
            <w:tcMar>
              <w:top w:type="dxa" w:w="100"/>
              <w:left w:type="dxa" w:w="120"/>
              <w:bottom w:type="dxa" w:w="100"/>
              <w:right w:type="dxa" w:w="120"/>
            </w:tcMar>
          </w:tcPr>
          <w:p>
            <w:r>
              <w:t xml:space="preserve">Schéma de données validé (dossiers, campagnes, étapes, GED, RBAC, paiement hors ligne + dépôt bancaire V1), choix définitif ORM/contrat API, politique de rétention RGPD tranchée avec le client</w:t>
            </w:r>
          </w:p>
        </w:tc>
      </w:tr>
      <w:tr>
        <w:tc>
          <w:tcPr>
            <w:tcW w:type="pct" w:w="33%"/>
            <w:tcMar>
              <w:top w:type="dxa" w:w="100"/>
              <w:left w:type="dxa" w:w="120"/>
              <w:bottom w:type="dxa" w:w="100"/>
              <w:right w:type="dxa" w:w="120"/>
            </w:tcMar>
          </w:tcPr>
          <w:p>
            <w:r>
              <w:t xml:space="preserve">UI/UX</w:t>
            </w:r>
          </w:p>
        </w:tc>
        <w:tc>
          <w:tcPr>
            <w:tcW w:type="pct" w:w="33%"/>
            <w:tcMar>
              <w:top w:type="dxa" w:w="100"/>
              <w:left w:type="dxa" w:w="120"/>
              <w:bottom w:type="dxa" w:w="100"/>
              <w:right w:type="dxa" w:w="120"/>
            </w:tcMar>
          </w:tcPr>
          <w:p>
            <w:r>
              <w:t xml:space="preserve">Design system (tokens + composants de base), wireframes des 2 apps (web, back-office), maquettes haute fidélité du parcours candidat</w:t>
            </w:r>
          </w:p>
        </w:tc>
      </w:tr>
      <w:tr>
        <w:tc>
          <w:tcPr>
            <w:tcW w:type="pct" w:w="33%"/>
            <w:tcMar>
              <w:top w:type="dxa" w:w="100"/>
              <w:left w:type="dxa" w:w="120"/>
              <w:bottom w:type="dxa" w:w="100"/>
              <w:right w:type="dxa" w:w="120"/>
            </w:tcMar>
          </w:tcPr>
          <w:p>
            <w:r>
              <w:t xml:space="preserve">DevOps</w:t>
            </w:r>
          </w:p>
        </w:tc>
        <w:tc>
          <w:tcPr>
            <w:tcW w:type="pct" w:w="33%"/>
            <w:tcMar>
              <w:top w:type="dxa" w:w="100"/>
              <w:left w:type="dxa" w:w="120"/>
              <w:bottom w:type="dxa" w:w="100"/>
              <w:right w:type="dxa" w:w="120"/>
            </w:tcMar>
          </w:tcPr>
          <w:p>
            <w:r>
              <w:t xml:space="preserve">Environnements dev/staging/prod provisionnés, CI/CD de base, nom de domaine + Cloudflare configurés</w:t>
            </w:r>
          </w:p>
        </w:tc>
      </w:tr>
    </w:tbl>
    <w:p>
      <w:pPr>
        <w:spacing w:after="160" w:before="160"/>
      </w:pPr>
      <w:r>
        <w:rPr>
          <w:i/>
          <w:iCs/>
          <w:color w:val="475569"/>
        </w:rPr>
        <w:t xml:space="preserve">Point bloquant restant : la politique de rétention RGPD doit être actée ici — elle change la stratégie d'archivage/purge. Le périmètre paiement est désormais tranché (hors ligne + dépôt bancaire en V1, Semoa en Phase 6) et n'est plus bloquant.</w:t>
      </w:r>
    </w:p>
    <w:p>
      <w:pPr>
        <w:pStyle w:val="Heading2"/>
        <w:spacing w:after="160" w:before="300"/>
      </w:pPr>
      <w:r>
        <w:t xml:space="preserve">Phase 1 — Socle technique + Site vitrine (3-4 semaines)</w:t>
      </w:r>
    </w:p>
    <w:p>
      <w:pPr>
        <w:pStyle w:val="ListParagraph"/>
        <w:numPr>
          <w:ilvl w:val="0"/>
          <w:numId w:val="2"/>
        </w:numPr>
        <w:spacing w:after="100"/>
      </w:pPr>
      <w:r>
        <w:t xml:space="preserve">API : authentification (email/mdp + 2FA), squelette RBAC, modèle de données core (campagnes, formations, utilisateurs).</w:t>
      </w:r>
    </w:p>
    <w:p>
      <w:pPr>
        <w:pStyle w:val="ListParagraph"/>
        <w:numPr>
          <w:ilvl w:val="0"/>
          <w:numId w:val="2"/>
        </w:numPr>
        <w:spacing w:after="100"/>
      </w:pPr>
      <w:r>
        <w:rPr>
          <w:rFonts w:ascii="Consolas" w:cs="Consolas" w:eastAsia="Consolas" w:hAnsi="Consolas"/>
          <w:color w:val="AF3A03"/>
        </w:rPr>
        <w:t xml:space="preserve">apps/web</w:t>
      </w:r>
      <w:r>
        <w:t xml:space="preserve"> : initialisation de l'app unique (groupes de routes </w:t>
      </w:r>
      <w:r>
        <w:rPr>
          <w:rFonts w:ascii="Consolas" w:cs="Consolas" w:eastAsia="Consolas" w:hAnsi="Consolas"/>
          <w:color w:val="AF3A03"/>
        </w:rPr>
        <w:t xml:space="preserve">(public)</w:t>
      </w:r>
      <w:r>
        <w:t xml:space="preserve"> / </w:t>
      </w:r>
      <w:r>
        <w:rPr>
          <w:rFonts w:ascii="Consolas" w:cs="Consolas" w:eastAsia="Consolas" w:hAnsi="Consolas"/>
          <w:color w:val="AF3A03"/>
        </w:rPr>
        <w:t xml:space="preserve">(candidat)</w:t>
      </w:r>
      <w:r>
        <w:t xml:space="preserve">, layout et navigation partagés dès le départ) — accueil, catalogue avec filtres, fiche formation, page « Comment ça marche », contact + WhatsApp flottant, blog basique.</w:t>
      </w:r>
    </w:p>
    <w:p>
      <w:pPr>
        <w:pStyle w:val="ListParagraph"/>
        <w:numPr>
          <w:ilvl w:val="0"/>
          <w:numId w:val="2"/>
        </w:numPr>
        <w:spacing w:after="100"/>
      </w:pPr>
      <w:r>
        <w:t xml:space="preserve">DevOps : pipeline de déploiement automatisé, monitoring de base.</w:t>
      </w:r>
    </w:p>
    <w:p>
      <w:pPr>
        <w:pStyle w:val="ListParagraph"/>
        <w:numPr>
          <w:ilvl w:val="0"/>
          <w:numId w:val="2"/>
        </w:numPr>
        <w:spacing w:after="100"/>
      </w:pPr>
      <w:r>
        <w:t xml:space="preserve">UX : mise en œuvre du design system dans le code, y compris le header avec l'entrée « Mon espace ».</w:t>
      </w:r>
    </w:p>
    <w:p>
      <w:pPr>
        <w:pStyle w:val="Heading2"/>
        <w:spacing w:after="160" w:before="300"/>
      </w:pPr>
      <w:r>
        <w:t xml:space="preserve">Phase 2 — Espace candidat (4-5 semaines, dans apps/web)</w:t>
      </w:r>
    </w:p>
    <w:p>
      <w:pPr>
        <w:pStyle w:val="ListParagraph"/>
        <w:numPr>
          <w:ilvl w:val="0"/>
          <w:numId w:val="2"/>
        </w:numPr>
        <w:spacing w:after="100"/>
      </w:pPr>
      <w:r>
        <w:t xml:space="preserve">Création de compte, 2FA, réinitialisation mot de passe.</w:t>
      </w:r>
    </w:p>
    <w:p>
      <w:pPr>
        <w:pStyle w:val="ListParagraph"/>
        <w:numPr>
          <w:ilvl w:val="0"/>
          <w:numId w:val="2"/>
        </w:numPr>
        <w:spacing w:after="100"/>
      </w:pPr>
      <w:r>
        <w:t xml:space="preserve">Parcours de candidature en 5 étapes avec sauvegarde progressive, multi-candidatures par compte.</w:t>
      </w:r>
    </w:p>
    <w:p>
      <w:pPr>
        <w:pStyle w:val="ListParagraph"/>
        <w:numPr>
          <w:ilvl w:val="0"/>
          <w:numId w:val="2"/>
        </w:numPr>
        <w:spacing w:after="100"/>
      </w:pPr>
      <w:r>
        <w:t xml:space="preserve">Upload de documents (GED : types configurables, statuts, versioning), scan antivirus asynchrone.</w:t>
      </w:r>
    </w:p>
    <w:p>
      <w:pPr>
        <w:pStyle w:val="ListParagraph"/>
        <w:numPr>
          <w:ilvl w:val="0"/>
          <w:numId w:val="2"/>
        </w:numPr>
        <w:spacing w:after="100"/>
      </w:pPr>
      <w:r>
        <w:t xml:space="preserve">Suivi de dossier temps réel + timeline, page « Remarques », notifications email.</w:t>
      </w:r>
    </w:p>
    <w:p>
      <w:pPr>
        <w:pStyle w:val="ListParagraph"/>
        <w:numPr>
          <w:ilvl w:val="0"/>
          <w:numId w:val="2"/>
        </w:numPr>
        <w:spacing w:after="100"/>
      </w:pPr>
      <w:r>
        <w:t xml:space="preserve">Prise de rendez-vous candidat.</w:t>
      </w:r>
    </w:p>
    <w:p>
      <w:pPr>
        <w:pStyle w:val="ListParagraph"/>
        <w:numPr>
          <w:ilvl w:val="0"/>
          <w:numId w:val="2"/>
        </w:numPr>
        <w:spacing w:after="100"/>
      </w:pPr>
      <w:r>
        <w:t xml:space="preserve">Paiement V1 : écran de choix hors ligne / dépôt bancaire, affichage RIB + référence, upload du bordereau, statut « en attente de validation ».</w:t>
      </w:r>
    </w:p>
    <w:p>
      <w:pPr>
        <w:pStyle w:val="Heading2"/>
        <w:spacing w:after="160" w:before="300"/>
      </w:pPr>
      <w:r>
        <w:t xml:space="preserve">Phase 3 — Back-office (4-5 semaines, en partie parallélisable)</w:t>
      </w:r>
    </w:p>
    <w:p>
      <w:pPr>
        <w:pStyle w:val="ListParagraph"/>
        <w:numPr>
          <w:ilvl w:val="0"/>
          <w:numId w:val="2"/>
        </w:numPr>
        <w:spacing w:after="100"/>
      </w:pPr>
      <w:r>
        <w:t xml:space="preserve">Gestion des dossiers, affectation aux agents, moteur d'étapes configurable par filière (l'écran le plus complexe du projet).</w:t>
      </w:r>
    </w:p>
    <w:p>
      <w:pPr>
        <w:pStyle w:val="ListParagraph"/>
        <w:numPr>
          <w:ilvl w:val="0"/>
          <w:numId w:val="2"/>
        </w:numPr>
        <w:spacing w:after="100"/>
      </w:pPr>
      <w:r>
        <w:t xml:space="preserve">Gestion du catalogue de formations, des campagnes, des partenaires.</w:t>
      </w:r>
    </w:p>
    <w:p>
      <w:pPr>
        <w:pStyle w:val="ListParagraph"/>
        <w:numPr>
          <w:ilvl w:val="0"/>
          <w:numId w:val="2"/>
        </w:numPr>
        <w:spacing w:after="100"/>
      </w:pPr>
      <w:r>
        <w:t xml:space="preserve">RBAC complet : les 2 rôles de base + interface de création de profils personnalisés.</w:t>
      </w:r>
    </w:p>
    <w:p>
      <w:pPr>
        <w:pStyle w:val="ListParagraph"/>
        <w:numPr>
          <w:ilvl w:val="0"/>
          <w:numId w:val="2"/>
        </w:numPr>
        <w:spacing w:after="100"/>
      </w:pPr>
      <w:r>
        <w:t xml:space="preserve">Gestion des rendez-vous, enregistrement des paiements hors ligne et validation/rejet des bordereaux de dépôt bancaire (rapprochement bancaire, reçu automatique, remarque + email en cas de rejet).</w:t>
      </w:r>
    </w:p>
    <w:p>
      <w:pPr>
        <w:pStyle w:val="ListParagraph"/>
        <w:numPr>
          <w:ilvl w:val="0"/>
          <w:numId w:val="2"/>
        </w:numPr>
        <w:spacing w:after="100"/>
      </w:pPr>
      <w:r>
        <w:t xml:space="preserve">Tableaux de bord, recherche/filtres, exports CSV/Excel, journal d'audit.</w:t>
      </w:r>
    </w:p>
    <w:p>
      <w:pPr>
        <w:pStyle w:val="Heading2"/>
        <w:spacing w:after="160" w:before="300"/>
      </w:pPr>
      <w:r>
        <w:t xml:space="preserve">Phase 4 — Durcissement, sécurité &amp; tests (2-3 semaines)</w:t>
      </w:r>
    </w:p>
    <w:p>
      <w:pPr>
        <w:pStyle w:val="ListParagraph"/>
        <w:numPr>
          <w:ilvl w:val="0"/>
          <w:numId w:val="2"/>
        </w:numPr>
        <w:spacing w:after="100"/>
      </w:pPr>
      <w:r>
        <w:t xml:space="preserve">Tests fonctionnels de bout en bout sur les parcours critiques.</w:t>
      </w:r>
    </w:p>
    <w:p>
      <w:pPr>
        <w:pStyle w:val="ListParagraph"/>
        <w:numPr>
          <w:ilvl w:val="0"/>
          <w:numId w:val="2"/>
        </w:numPr>
        <w:spacing w:after="100"/>
      </w:pPr>
      <w:r>
        <w:t xml:space="preserve">Test de charge jusqu'à 2 000 dossiers.</w:t>
      </w:r>
    </w:p>
    <w:p>
      <w:pPr>
        <w:pStyle w:val="ListParagraph"/>
        <w:numPr>
          <w:ilvl w:val="0"/>
          <w:numId w:val="2"/>
        </w:numPr>
        <w:spacing w:after="100"/>
      </w:pPr>
      <w:r>
        <w:t xml:space="preserve">Audit sécurité, dossier RGPD (politique de confidentialité, mentions légales, procédure d'exercice des droits).</w:t>
      </w:r>
    </w:p>
    <w:p>
      <w:pPr>
        <w:pStyle w:val="ListParagraph"/>
        <w:numPr>
          <w:ilvl w:val="0"/>
          <w:numId w:val="2"/>
        </w:numPr>
        <w:spacing w:after="100"/>
      </w:pPr>
      <w:r>
        <w:t xml:space="preserve">Procédure de sauvegarde/restauration testée en conditions réelles.</w:t>
      </w:r>
    </w:p>
    <w:p>
      <w:pPr>
        <w:pStyle w:val="ListParagraph"/>
        <w:numPr>
          <w:ilvl w:val="0"/>
          <w:numId w:val="2"/>
        </w:numPr>
        <w:spacing w:after="100"/>
      </w:pPr>
      <w:r>
        <w:t xml:space="preserve">Recette client sur environnement staging.</w:t>
      </w:r>
    </w:p>
    <w:p>
      <w:pPr>
        <w:pStyle w:val="Heading2"/>
        <w:spacing w:after="160" w:before="300"/>
      </w:pPr>
      <w:r>
        <w:t xml:space="preserve">Phase 5 — Mise en production (1 semaine)</w:t>
      </w:r>
    </w:p>
    <w:p>
      <w:pPr>
        <w:pStyle w:val="ListParagraph"/>
        <w:numPr>
          <w:ilvl w:val="0"/>
          <w:numId w:val="2"/>
        </w:numPr>
        <w:spacing w:after="100"/>
      </w:pPr>
      <w:r>
        <w:t xml:space="preserve">Bascule DNS/Cloudflare, déploiement production, vérifications post-déploiement.</w:t>
      </w:r>
    </w:p>
    <w:p>
      <w:pPr>
        <w:pStyle w:val="ListParagraph"/>
        <w:numPr>
          <w:ilvl w:val="0"/>
          <w:numId w:val="2"/>
        </w:numPr>
        <w:spacing w:after="100"/>
      </w:pPr>
      <w:r>
        <w:t xml:space="preserve">Formation des gestionnaires au back-office.</w:t>
      </w:r>
    </w:p>
    <w:p>
      <w:pPr>
        <w:pStyle w:val="ListParagraph"/>
        <w:numPr>
          <w:ilvl w:val="0"/>
          <w:numId w:val="2"/>
        </w:numPr>
        <w:spacing w:after="100"/>
      </w:pPr>
      <w:r>
        <w:t xml:space="preserve">Documentation d'exploitation (runbook incident, procédure de restauration, accès admin).</w:t>
      </w:r>
    </w:p>
    <w:p>
      <w:pPr>
        <w:pStyle w:val="Heading2"/>
        <w:spacing w:after="160" w:before="300"/>
      </w:pPr>
      <w:r>
        <w:t xml:space="preserve">Phase 6 — Post-V1 (hors périmètre chiffré, pour mémoire)</w:t>
      </w:r>
    </w:p>
    <w:p>
      <w:pPr>
        <w:spacing w:after="160"/>
      </w:pPr>
      <w:r>
        <w:t xml:space="preserve">Paiement instantané Semoa (carte bancaire internationale, mobile money, validation automatique par webhook — le schéma </w:t>
      </w:r>
      <w:r>
        <w:rPr>
          <w:rFonts w:ascii="Consolas" w:cs="Consolas" w:eastAsia="Consolas" w:hAnsi="Consolas"/>
          <w:color w:val="AF3A03"/>
        </w:rPr>
        <w:t xml:space="preserve">payments</w:t>
      </w:r>
      <w:r>
        <w:t xml:space="preserve"> de la V1 est conçu pour l'absorber sans migration lourde), automatisation des transitions d'étapes par règles, statistiques avancées, recommandation de formation assistée par IA, visioconférence intégrée, multilingue, notifications WhatsApp/SMS.</w:t>
      </w:r>
    </w:p>
    <w:p>
      <w:pPr>
        <w:pStyle w:val="Heading1"/>
        <w:spacing w:after="200" w:before="400"/>
      </w:pPr>
      <w:r>
        <w:t xml:space="preserve">5. Risques à surveiller</w:t>
      </w:r>
    </w:p>
    <w:p>
      <w:pPr>
        <w:pStyle w:val="ListParagraph"/>
        <w:numPr>
          <w:ilvl w:val="0"/>
          <w:numId w:val="2"/>
        </w:numPr>
        <w:spacing w:after="100"/>
      </w:pPr>
      <w:r>
        <w:rPr>
          <w:b/>
          <w:bCs/>
        </w:rPr>
        <w:t xml:space="preserve">Moteur d'étapes</w:t>
      </w:r>
      <w:r>
        <w:t xml:space="preserve"> : risque de sous-estimation si traité comme un simple champ statut plutôt qu'un vrai modèle de workflow — une erreur de modélisation ici se paie sur tout le reste du projet.</w:t>
      </w:r>
    </w:p>
    <w:p>
      <w:pPr>
        <w:pStyle w:val="ListParagraph"/>
        <w:numPr>
          <w:ilvl w:val="0"/>
          <w:numId w:val="2"/>
        </w:numPr>
        <w:spacing w:after="100"/>
      </w:pPr>
      <w:r>
        <w:rPr>
          <w:b/>
          <w:bCs/>
        </w:rPr>
        <w:t xml:space="preserve">Arbitrage non tranché restant</w:t>
      </w:r>
      <w:r>
        <w:t xml:space="preserve"> (rétention RGPD) : ne pas démarrer la modélisation définitive de l'archivage avant décision client.</w:t>
      </w:r>
    </w:p>
    <w:p>
      <w:pPr>
        <w:pStyle w:val="ListParagraph"/>
        <w:numPr>
          <w:ilvl w:val="0"/>
          <w:numId w:val="2"/>
        </w:numPr>
        <w:spacing w:after="100"/>
      </w:pPr>
      <w:r>
        <w:rPr>
          <w:b/>
          <w:bCs/>
        </w:rPr>
        <w:t xml:space="preserve">Bordereau de dépôt bancaire</w:t>
      </w:r>
      <w:r>
        <w:t xml:space="preserve"> : validation manuelle en V1, prévoir un délai de traitement assumé côté candidat, et une vigilance simple sur les bordereaux falsifiés ou réutilisés.</w:t>
      </w:r>
    </w:p>
    <w:p>
      <w:pPr>
        <w:pStyle w:val="ListParagraph"/>
        <w:numPr>
          <w:ilvl w:val="0"/>
          <w:numId w:val="2"/>
        </w:numPr>
        <w:spacing w:after="100"/>
      </w:pPr>
      <w:r>
        <w:rPr>
          <w:b/>
          <w:bCs/>
        </w:rPr>
        <w:t xml:space="preserve">Volumétrie documentaire</w:t>
      </w:r>
      <w:r>
        <w:t xml:space="preserve"> : même recalibrée à 10-20 Mo/fichier, prévoir le dimensionnement du stockage objet et son coût récurrent dès le devis.</w:t>
      </w:r>
    </w:p>
    <w:p>
      <w:pPr>
        <w:pStyle w:val="ListParagraph"/>
        <w:numPr>
          <w:ilvl w:val="0"/>
          <w:numId w:val="2"/>
        </w:numPr>
        <w:spacing w:after="100"/>
      </w:pPr>
      <w:r>
        <w:rPr>
          <w:b/>
          <w:bCs/>
        </w:rPr>
        <w:t xml:space="preserve">RGPD</w:t>
      </w:r>
      <w:r>
        <w:t xml:space="preserve"> : si des candidats résidents UE sont concernés, la localisation du serveur Contabo et la politique de rétention doivent être conformes avant mise en production.</w:t>
      </w:r>
    </w:p>
    <w:p>
      <w:pPr>
        <w:pStyle w:val="ListParagraph"/>
        <w:numPr>
          <w:ilvl w:val="0"/>
          <w:numId w:val="2"/>
        </w:numPr>
        <w:spacing w:after="100"/>
      </w:pPr>
      <w:r>
        <w:rPr>
          <w:b/>
          <w:bCs/>
        </w:rPr>
        <w:t xml:space="preserve">Charge de l'écran « moteur d'étapes » en admin</w:t>
      </w:r>
      <w:r>
        <w:t xml:space="preserve"> : le risque UX principal du projet — s'il est mal conçu, les gestionnaires reviendront au tableur qu'on cherche à remplacer.</w:t>
      </w:r>
    </w:p>
    <w:p>
      <w:pPr>
        <w:pBdr>
          <w:bottom w:val="single" w:color="CBD5E1" w:sz="6" w:space="1"/>
        </w:pBdr>
        <w:spacing w:after="200" w:before="200"/>
      </w:pPr>
    </w:p>
    <w:p>
      <w:pPr>
        <w:spacing w:after="160"/>
      </w:pPr>
      <w:r>
        <w:rPr>
          <w:i/>
          <w:iCs/>
          <w:color w:val="475569"/>
          <w:sz w:val="20"/>
          <w:szCs w:val="20"/>
        </w:rPr>
        <w:t xml:space="preserve">Document de travail — à affiner une fois les arbitrages client tranchés (phase 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8" w:space="4"/>
      </w:pBdr>
    </w:pPr>
    <w:rPr>
      <w:rFonts w:ascii="Calibri" w:cs="Calibri" w:eastAsia="Calibri" w:hAnsi="Calibri"/>
      <w:b/>
      <w:bCs/>
      <w:color w:val="1E3A5F"/>
      <w:sz w:val="30"/>
      <w:szCs w:val="30"/>
    </w:rPr>
  </w:style>
  <w:style w:type="paragraph" w:styleId="Heading2">
    <w:name w:val="Heading 2"/>
    <w:basedOn w:val="Normal"/>
    <w:next w:val="Normal"/>
    <w:qFormat/>
    <w:rPr>
      <w:rFonts w:ascii="Calibri" w:cs="Calibri" w:eastAsia="Calibri" w:hAnsi="Calibri"/>
      <w:b/>
      <w:bCs/>
      <w:color w:val="1E3A5F"/>
      <w:sz w:val="25"/>
      <w:szCs w:val="25"/>
    </w:rPr>
  </w:style>
  <w:style w:type="paragraph" w:styleId="Heading3">
    <w:name w:val="Heading 3"/>
    <w:basedOn w:val="Normal"/>
    <w:next w:val="Normal"/>
    <w:qFormat/>
    <w:rPr>
      <w:rFonts w:ascii="Calibri" w:cs="Calibri" w:eastAsia="Calibri" w:hAnsi="Calibri"/>
      <w:b/>
      <w:b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2026-09-18T01:37:50.086Z</dcterms:created>
  <dcterms:modified xsi:type="dcterms:W3CDTF">2026-09-18T01:37:50.086Z</dcterms:modified>
</cp:coreProperties>
</file>

<file path=docProps/custom.xml><?xml version="1.0" encoding="utf-8"?>
<Properties xmlns="http://schemas.openxmlformats.org/officeDocument/2006/custom-properties" xmlns:vt="http://schemas.openxmlformats.org/officeDocument/2006/docPropsVTypes"/>
</file>