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aps/>
          <w:color w:val="1B2A4A"/>
          <w:sz w:val="34"/>
          <w:szCs w:val="34"/>
        </w:rPr>
        <w:t xml:space="preserve">CAHIER DES CHARGES</w:t>
      </w:r>
    </w:p>
    <w:p>
      <w:pPr>
        <w:spacing w:after="100" w:before="200"/>
        <w:jc w:val="center"/>
      </w:pPr>
      <w:r>
        <w:rPr>
          <w:b/>
          <w:bCs/>
          <w:color w:val="1B2A4A"/>
          <w:sz w:val="60"/>
          <w:szCs w:val="60"/>
        </w:rPr>
        <w:t xml:space="preserve">CAMPUS ONE</w:t>
      </w:r>
    </w:p>
    <w:p>
      <w:pPr>
        <w:spacing w:after="600"/>
        <w:jc w:val="center"/>
      </w:pPr>
      <w:r>
        <w:rPr>
          <w:i/>
          <w:iCs/>
          <w:color w:val="5A5A5A"/>
          <w:sz w:val="24"/>
          <w:szCs w:val="24"/>
        </w:rPr>
        <w:t xml:space="preserve">Plateforme de mobilité étudiante internationale — Site vitrine, espace candidat et back-office de gestion des dossiers</w:t>
      </w:r>
    </w:p>
    <w:p>
      <w:pPr>
        <w:spacing w:after="60"/>
        <w:jc w:val="center"/>
      </w:pPr>
      <w:r>
        <w:rPr>
          <w:i/>
          <w:iCs/>
          <w:color w:val="B08A3E"/>
          <w:sz w:val="22"/>
          <w:szCs w:val="22"/>
        </w:rPr>
        <w:t xml:space="preserve">Study • Move • Succeed</w:t>
      </w:r>
    </w:p>
    <w:p>
      <w:pPr>
        <w:spacing w:after="40" w:before="800"/>
        <w:jc w:val="center"/>
      </w:pPr>
      <w:r>
        <w:rPr>
          <w:b/>
          <w:bCs/>
          <w:sz w:val="22"/>
          <w:szCs w:val="22"/>
        </w:rPr>
        <w:t xml:space="preserve">Version finale consolidée 1.0</w:t>
      </w:r>
    </w:p>
    <w:p>
      <w:pPr>
        <w:spacing w:after="40"/>
        <w:jc w:val="center"/>
      </w:pPr>
      <w:r>
        <w:rPr>
          <w:sz w:val="22"/>
          <w:szCs w:val="22"/>
        </w:rPr>
        <w:t xml:space="preserve">Septembre 2026</w:t>
      </w:r>
    </w:p>
    <w:p>
      <w:pPr>
        <w:spacing w:before="300"/>
        <w:jc w:val="center"/>
      </w:pPr>
      <w:r>
        <w:rPr>
          <w:color w:val="5A5A5A"/>
          <w:sz w:val="18"/>
          <w:szCs w:val="18"/>
        </w:rPr>
        <w:t xml:space="preserve">Document consolidé à partir de trois cahiers des charges sources</w:t>
      </w:r>
    </w:p>
    <w:p>
      <w:pPr>
        <w:jc w:val="center"/>
      </w:pPr>
      <w:r>
        <w:rPr>
          <w:color w:val="5A5A5A"/>
          <w:sz w:val="18"/>
          <w:szCs w:val="18"/>
        </w:rPr>
        <w:t xml:space="preserve">(plateforme de candidatures, site Campus One, note de cadrage mobilité étudiante)</w:t>
      </w:r>
    </w:p>
    <w:p>
      <w:r>
        <w:br w:type="page"/>
      </w:r>
    </w:p>
    <w:p>
      <w:pPr>
        <w:pStyle w:val="Heading1"/>
        <w:pBdr>
          <w:bottom w:val="single" w:color="B08A3E" w:sz="6" w:space="4"/>
        </w:pBdr>
        <w:spacing w:after="200" w:before="400"/>
      </w:pPr>
      <w:r>
        <w:t xml:space="preserve">Fiche de cadrage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000"/>
        <w:gridCol w:w="6800"/>
      </w:tblGrid>
      <w:tr>
        <w:tc>
          <w:tcPr>
            <w:tcW w:type="dxa" w:w="3000"/>
            <w:shd w:fill="F2F2F2" w:val="clear"/>
            <w:tcMar>
              <w:top w:type="dxa" w:w="80"/>
              <w:left w:type="dxa" w:w="100"/>
              <w:bottom w:type="dxa" w:w="80"/>
              <w:right w:type="dxa" w:w="100"/>
            </w:tcMar>
            <w:vAlign w:val="center"/>
          </w:tcPr>
          <w:p>
            <w:pPr>
              <w:jc w:val="left"/>
            </w:pPr>
            <w:r>
              <w:rPr>
                <w:b/>
                <w:bCs/>
                <w:color w:val="222222"/>
                <w:sz w:val="20"/>
                <w:szCs w:val="20"/>
              </w:rPr>
              <w:t xml:space="preserve">Nom commercial</w:t>
            </w:r>
          </w:p>
        </w:tc>
        <w:tc>
          <w:tcPr>
            <w:tcW w:type="dxa" w:w="6800"/>
            <w:tcMar>
              <w:top w:type="dxa" w:w="80"/>
              <w:left w:type="dxa" w:w="100"/>
              <w:bottom w:type="dxa" w:w="80"/>
              <w:right w:type="dxa" w:w="100"/>
            </w:tcMar>
            <w:vAlign w:val="center"/>
          </w:tcPr>
          <w:p>
            <w:pPr>
              <w:jc w:val="left"/>
            </w:pPr>
            <w:r>
              <w:rPr>
                <w:b w:val="false"/>
                <w:bCs w:val="false"/>
                <w:color w:val="222222"/>
                <w:sz w:val="20"/>
                <w:szCs w:val="20"/>
              </w:rPr>
              <w:t xml:space="preserve">CAMPUS ONE</w:t>
            </w:r>
          </w:p>
        </w:tc>
      </w:tr>
      <w:tr>
        <w:tc>
          <w:tcPr>
            <w:tcW w:type="dxa" w:w="3000"/>
            <w:shd w:fill="F2F2F2" w:val="clear"/>
            <w:tcMar>
              <w:top w:type="dxa" w:w="80"/>
              <w:left w:type="dxa" w:w="100"/>
              <w:bottom w:type="dxa" w:w="80"/>
              <w:right w:type="dxa" w:w="100"/>
            </w:tcMar>
            <w:vAlign w:val="center"/>
          </w:tcPr>
          <w:p>
            <w:pPr>
              <w:jc w:val="left"/>
            </w:pPr>
            <w:r>
              <w:rPr>
                <w:b/>
                <w:bCs/>
                <w:color w:val="222222"/>
                <w:sz w:val="20"/>
                <w:szCs w:val="20"/>
              </w:rPr>
              <w:t xml:space="preserve">Activité</w:t>
            </w:r>
          </w:p>
        </w:tc>
        <w:tc>
          <w:tcPr>
            <w:tcW w:type="dxa" w:w="6800"/>
            <w:tcMar>
              <w:top w:type="dxa" w:w="80"/>
              <w:left w:type="dxa" w:w="100"/>
              <w:bottom w:type="dxa" w:w="80"/>
              <w:right w:type="dxa" w:w="100"/>
            </w:tcMar>
            <w:vAlign w:val="center"/>
          </w:tcPr>
          <w:p>
            <w:pPr>
              <w:jc w:val="left"/>
            </w:pPr>
            <w:r>
              <w:rPr>
                <w:b w:val="false"/>
                <w:bCs w:val="false"/>
                <w:color w:val="222222"/>
                <w:sz w:val="20"/>
                <w:szCs w:val="20"/>
              </w:rPr>
              <w:t xml:space="preserve">Agence d'orientation, d'admission et de mobilité internationale des étudiants souhaitant poursuivre leurs études à l'étranger, notamment en France</w:t>
            </w:r>
          </w:p>
        </w:tc>
      </w:tr>
      <w:tr>
        <w:tc>
          <w:tcPr>
            <w:tcW w:type="dxa" w:w="3000"/>
            <w:shd w:fill="F2F2F2" w:val="clear"/>
            <w:tcMar>
              <w:top w:type="dxa" w:w="80"/>
              <w:left w:type="dxa" w:w="100"/>
              <w:bottom w:type="dxa" w:w="80"/>
              <w:right w:type="dxa" w:w="100"/>
            </w:tcMar>
            <w:vAlign w:val="center"/>
          </w:tcPr>
          <w:p>
            <w:pPr>
              <w:jc w:val="left"/>
            </w:pPr>
            <w:r>
              <w:rPr>
                <w:b/>
                <w:bCs/>
                <w:color w:val="222222"/>
                <w:sz w:val="20"/>
                <w:szCs w:val="20"/>
              </w:rPr>
              <w:t xml:space="preserve">Positionnement</w:t>
            </w:r>
          </w:p>
        </w:tc>
        <w:tc>
          <w:tcPr>
            <w:tcW w:type="dxa" w:w="6800"/>
            <w:tcMar>
              <w:top w:type="dxa" w:w="80"/>
              <w:left w:type="dxa" w:w="100"/>
              <w:bottom w:type="dxa" w:w="80"/>
              <w:right w:type="dxa" w:w="100"/>
            </w:tcMar>
            <w:vAlign w:val="center"/>
          </w:tcPr>
          <w:p>
            <w:pPr>
              <w:jc w:val="left"/>
            </w:pPr>
            <w:r>
              <w:rPr>
                <w:b w:val="false"/>
                <w:bCs w:val="false"/>
                <w:color w:val="222222"/>
                <w:sz w:val="20"/>
                <w:szCs w:val="20"/>
              </w:rPr>
              <w:t xml:space="preserve">« CAMPUS ONE – Votre projet d'études, de l'orientation à l'installation. » Guichet unique de la mobilité étudiante, de la première réflexion jusqu'à l'installation dans le pays d'études.</w:t>
            </w:r>
          </w:p>
        </w:tc>
      </w:tr>
      <w:tr>
        <w:tc>
          <w:tcPr>
            <w:tcW w:type="dxa" w:w="3000"/>
            <w:shd w:fill="F2F2F2" w:val="clear"/>
            <w:tcMar>
              <w:top w:type="dxa" w:w="80"/>
              <w:left w:type="dxa" w:w="100"/>
              <w:bottom w:type="dxa" w:w="80"/>
              <w:right w:type="dxa" w:w="100"/>
            </w:tcMar>
            <w:vAlign w:val="center"/>
          </w:tcPr>
          <w:p>
            <w:pPr>
              <w:jc w:val="left"/>
            </w:pPr>
            <w:r>
              <w:rPr>
                <w:b/>
                <w:bCs/>
                <w:color w:val="222222"/>
                <w:sz w:val="20"/>
                <w:szCs w:val="20"/>
              </w:rPr>
              <w:t xml:space="preserve">Objet du document</w:t>
            </w:r>
          </w:p>
        </w:tc>
        <w:tc>
          <w:tcPr>
            <w:tcW w:type="dxa" w:w="6800"/>
            <w:tcMar>
              <w:top w:type="dxa" w:w="80"/>
              <w:left w:type="dxa" w:w="100"/>
              <w:bottom w:type="dxa" w:w="80"/>
              <w:right w:type="dxa" w:w="100"/>
            </w:tcMar>
            <w:vAlign w:val="center"/>
          </w:tcPr>
          <w:p>
            <w:pPr>
              <w:jc w:val="left"/>
            </w:pPr>
            <w:r>
              <w:rPr>
                <w:b w:val="false"/>
                <w:bCs w:val="false"/>
                <w:color w:val="222222"/>
                <w:sz w:val="20"/>
                <w:szCs w:val="20"/>
              </w:rPr>
              <w:t xml:space="preserve">Version finale consolidant : (1) le cahier des charges de la plateforme de candidatures, (2) le cahier des charges du site Campus One, (3) la note de cadrage de la plateforme de gestion des dossiers de mobilité</w:t>
            </w:r>
          </w:p>
        </w:tc>
      </w:tr>
      <w:tr>
        <w:tc>
          <w:tcPr>
            <w:tcW w:type="dxa" w:w="3000"/>
            <w:shd w:fill="F2F2F2" w:val="clear"/>
            <w:tcMar>
              <w:top w:type="dxa" w:w="80"/>
              <w:left w:type="dxa" w:w="100"/>
              <w:bottom w:type="dxa" w:w="80"/>
              <w:right w:type="dxa" w:w="100"/>
            </w:tcMar>
            <w:vAlign w:val="center"/>
          </w:tcPr>
          <w:p>
            <w:pPr>
              <w:jc w:val="left"/>
            </w:pPr>
            <w:r>
              <w:rPr>
                <w:b/>
                <w:bCs/>
                <w:color w:val="222222"/>
                <w:sz w:val="20"/>
                <w:szCs w:val="20"/>
              </w:rPr>
              <w:t xml:space="preserve">Version</w:t>
            </w:r>
          </w:p>
        </w:tc>
        <w:tc>
          <w:tcPr>
            <w:tcW w:type="dxa" w:w="6800"/>
            <w:tcMar>
              <w:top w:type="dxa" w:w="80"/>
              <w:left w:type="dxa" w:w="100"/>
              <w:bottom w:type="dxa" w:w="80"/>
              <w:right w:type="dxa" w:w="100"/>
            </w:tcMar>
            <w:vAlign w:val="center"/>
          </w:tcPr>
          <w:p>
            <w:pPr>
              <w:jc w:val="left"/>
            </w:pPr>
            <w:r>
              <w:rPr>
                <w:b w:val="false"/>
                <w:bCs w:val="false"/>
                <w:color w:val="222222"/>
                <w:sz w:val="20"/>
                <w:szCs w:val="20"/>
              </w:rPr>
              <w:t xml:space="preserve">1.0 (consolidée)</w:t>
            </w:r>
          </w:p>
        </w:tc>
      </w:tr>
      <w:tr>
        <w:tc>
          <w:tcPr>
            <w:tcW w:type="dxa" w:w="3000"/>
            <w:shd w:fill="F2F2F2" w:val="clear"/>
            <w:tcMar>
              <w:top w:type="dxa" w:w="80"/>
              <w:left w:type="dxa" w:w="100"/>
              <w:bottom w:type="dxa" w:w="80"/>
              <w:right w:type="dxa" w:w="100"/>
            </w:tcMar>
            <w:vAlign w:val="center"/>
          </w:tcPr>
          <w:p>
            <w:pPr>
              <w:jc w:val="left"/>
            </w:pPr>
            <w:r>
              <w:rPr>
                <w:b/>
                <w:bCs/>
                <w:color w:val="222222"/>
                <w:sz w:val="20"/>
                <w:szCs w:val="20"/>
              </w:rPr>
              <w:t xml:space="preserve">Date</w:t>
            </w:r>
          </w:p>
        </w:tc>
        <w:tc>
          <w:tcPr>
            <w:tcW w:type="dxa" w:w="6800"/>
            <w:tcMar>
              <w:top w:type="dxa" w:w="80"/>
              <w:left w:type="dxa" w:w="100"/>
              <w:bottom w:type="dxa" w:w="80"/>
              <w:right w:type="dxa" w:w="100"/>
            </w:tcMar>
            <w:vAlign w:val="center"/>
          </w:tcPr>
          <w:p>
            <w:pPr>
              <w:jc w:val="left"/>
            </w:pPr>
            <w:r>
              <w:rPr>
                <w:b w:val="false"/>
                <w:bCs w:val="false"/>
                <w:color w:val="222222"/>
                <w:sz w:val="20"/>
                <w:szCs w:val="20"/>
              </w:rPr>
              <w:t xml:space="preserve">Septembre 2026</w:t>
            </w:r>
          </w:p>
        </w:tc>
      </w:tr>
      <w:tr>
        <w:tc>
          <w:tcPr>
            <w:tcW w:type="dxa" w:w="3000"/>
            <w:shd w:fill="F2F2F2" w:val="clear"/>
            <w:tcMar>
              <w:top w:type="dxa" w:w="80"/>
              <w:left w:type="dxa" w:w="100"/>
              <w:bottom w:type="dxa" w:w="80"/>
              <w:right w:type="dxa" w:w="100"/>
            </w:tcMar>
            <w:vAlign w:val="center"/>
          </w:tcPr>
          <w:p>
            <w:pPr>
              <w:jc w:val="left"/>
            </w:pPr>
            <w:r>
              <w:rPr>
                <w:b/>
                <w:bCs/>
                <w:color w:val="222222"/>
                <w:sz w:val="20"/>
                <w:szCs w:val="20"/>
              </w:rPr>
              <w:t xml:space="preserve">Canal V1</w:t>
            </w:r>
          </w:p>
        </w:tc>
        <w:tc>
          <w:tcPr>
            <w:tcW w:type="dxa" w:w="6800"/>
            <w:tcMar>
              <w:top w:type="dxa" w:w="80"/>
              <w:left w:type="dxa" w:w="100"/>
              <w:bottom w:type="dxa" w:w="80"/>
              <w:right w:type="dxa" w:w="100"/>
            </w:tcMar>
            <w:vAlign w:val="center"/>
          </w:tcPr>
          <w:p>
            <w:pPr>
              <w:jc w:val="left"/>
            </w:pPr>
            <w:r>
              <w:rPr>
                <w:b w:val="false"/>
                <w:bCs w:val="false"/>
                <w:color w:val="222222"/>
                <w:sz w:val="20"/>
                <w:szCs w:val="20"/>
              </w:rPr>
              <w:t xml:space="preserve">Application web responsive (mobile-first), adaptée smartphone, tablette et ordinateur</w:t>
            </w:r>
          </w:p>
        </w:tc>
      </w:tr>
      <w:tr>
        <w:tc>
          <w:tcPr>
            <w:tcW w:type="dxa" w:w="3000"/>
            <w:shd w:fill="F2F2F2" w:val="clear"/>
            <w:tcMar>
              <w:top w:type="dxa" w:w="80"/>
              <w:left w:type="dxa" w:w="100"/>
              <w:bottom w:type="dxa" w:w="80"/>
              <w:right w:type="dxa" w:w="100"/>
            </w:tcMar>
            <w:vAlign w:val="center"/>
          </w:tcPr>
          <w:p>
            <w:pPr>
              <w:jc w:val="left"/>
            </w:pPr>
            <w:r>
              <w:rPr>
                <w:b/>
                <w:bCs/>
                <w:color w:val="222222"/>
                <w:sz w:val="20"/>
                <w:szCs w:val="20"/>
              </w:rPr>
              <w:t xml:space="preserve">Langue V1</w:t>
            </w:r>
          </w:p>
        </w:tc>
        <w:tc>
          <w:tcPr>
            <w:tcW w:type="dxa" w:w="6800"/>
            <w:tcMar>
              <w:top w:type="dxa" w:w="80"/>
              <w:left w:type="dxa" w:w="100"/>
              <w:bottom w:type="dxa" w:w="80"/>
              <w:right w:type="dxa" w:w="100"/>
            </w:tcMar>
            <w:vAlign w:val="center"/>
          </w:tcPr>
          <w:p>
            <w:pPr>
              <w:jc w:val="left"/>
            </w:pPr>
            <w:r>
              <w:rPr>
                <w:b w:val="false"/>
                <w:bCs w:val="false"/>
                <w:color w:val="222222"/>
                <w:sz w:val="20"/>
                <w:szCs w:val="20"/>
              </w:rPr>
              <w:t xml:space="preserve">Français</w:t>
            </w:r>
          </w:p>
        </w:tc>
      </w:tr>
      <w:tr>
        <w:tc>
          <w:tcPr>
            <w:tcW w:type="dxa" w:w="3000"/>
            <w:shd w:fill="F2F2F2" w:val="clear"/>
            <w:tcMar>
              <w:top w:type="dxa" w:w="80"/>
              <w:left w:type="dxa" w:w="100"/>
              <w:bottom w:type="dxa" w:w="80"/>
              <w:right w:type="dxa" w:w="100"/>
            </w:tcMar>
            <w:vAlign w:val="center"/>
          </w:tcPr>
          <w:p>
            <w:pPr>
              <w:jc w:val="left"/>
            </w:pPr>
            <w:r>
              <w:rPr>
                <w:b/>
                <w:bCs/>
                <w:color w:val="222222"/>
                <w:sz w:val="20"/>
                <w:szCs w:val="20"/>
              </w:rPr>
              <w:t xml:space="preserve">Destination initiale</w:t>
            </w:r>
          </w:p>
        </w:tc>
        <w:tc>
          <w:tcPr>
            <w:tcW w:type="dxa" w:w="6800"/>
            <w:tcMar>
              <w:top w:type="dxa" w:w="80"/>
              <w:left w:type="dxa" w:w="100"/>
              <w:bottom w:type="dxa" w:w="80"/>
              <w:right w:type="dxa" w:w="100"/>
            </w:tcMar>
            <w:vAlign w:val="center"/>
          </w:tcPr>
          <w:p>
            <w:pPr>
              <w:jc w:val="left"/>
            </w:pPr>
            <w:r>
              <w:rPr>
                <w:b w:val="false"/>
                <w:bCs w:val="false"/>
                <w:color w:val="222222"/>
                <w:sz w:val="20"/>
                <w:szCs w:val="20"/>
              </w:rPr>
              <w:t xml:space="preserve">France, avec architecture extensible vers Canada, Belgique, Allemagne, Royaume-Uni, etc.</w:t>
            </w:r>
          </w:p>
        </w:tc>
      </w:tr>
      <w:tr>
        <w:tc>
          <w:tcPr>
            <w:tcW w:type="dxa" w:w="3000"/>
            <w:shd w:fill="F2F2F2" w:val="clear"/>
            <w:tcMar>
              <w:top w:type="dxa" w:w="80"/>
              <w:left w:type="dxa" w:w="100"/>
              <w:bottom w:type="dxa" w:w="80"/>
              <w:right w:type="dxa" w:w="100"/>
            </w:tcMar>
            <w:vAlign w:val="center"/>
          </w:tcPr>
          <w:p>
            <w:pPr>
              <w:jc w:val="left"/>
            </w:pPr>
            <w:r>
              <w:rPr>
                <w:b/>
                <w:bCs/>
                <w:color w:val="222222"/>
                <w:sz w:val="20"/>
                <w:szCs w:val="20"/>
              </w:rPr>
              <w:t xml:space="preserve">Volume cible</w:t>
            </w:r>
          </w:p>
        </w:tc>
        <w:tc>
          <w:tcPr>
            <w:tcW w:type="dxa" w:w="6800"/>
            <w:tcMar>
              <w:top w:type="dxa" w:w="80"/>
              <w:left w:type="dxa" w:w="100"/>
              <w:bottom w:type="dxa" w:w="80"/>
              <w:right w:type="dxa" w:w="100"/>
            </w:tcMar>
            <w:vAlign w:val="center"/>
          </w:tcPr>
          <w:p>
            <w:pPr>
              <w:jc w:val="left"/>
            </w:pPr>
            <w:r>
              <w:rPr>
                <w:b w:val="false"/>
                <w:bCs w:val="false"/>
                <w:color w:val="222222"/>
                <w:sz w:val="20"/>
                <w:szCs w:val="20"/>
              </w:rPr>
              <w:t xml:space="preserve">500 à 2 000 candidatures / dossiers</w:t>
            </w:r>
          </w:p>
        </w:tc>
      </w:tr>
    </w:tbl>
    <w:p>
      <w:pPr>
        <w:pBdr>
          <w:left w:val="single" w:color="B08A3E" w:sz="18" w:space="8"/>
        </w:pBdr>
        <w:shd w:fill="FBF3E3" w:val="clear"/>
        <w:spacing w:after="160" w:before="100"/>
      </w:pPr>
      <w:r>
        <w:rPr>
          <w:i/>
          <w:iCs/>
          <w:color w:val="6B5416"/>
          <w:sz w:val="20"/>
          <w:szCs w:val="20"/>
        </w:rPr>
        <w:t xml:space="preserve">Ce document fusionne trois cahiers des charges rédigés à des étapes différentes du projet. Là où les sources divergent (notamment sur le paiement en ligne et la structuration en campagnes), la version la plus complète a été retenue et les points d'arbitrage restants sont signalés explicitement dans les sections concernées, à valider avec le client avant le lancement du développement.</w:t>
      </w:r>
    </w:p>
    <w:p>
      <w:pPr>
        <w:pStyle w:val="Heading1"/>
        <w:pBdr>
          <w:bottom w:val="single" w:color="B08A3E" w:sz="6" w:space="4"/>
        </w:pBdr>
        <w:spacing w:after="200" w:before="400"/>
      </w:pPr>
      <w:r>
        <w:t xml:space="preserve">1. Résumé exécutif</w:t>
      </w:r>
    </w:p>
    <w:p>
      <w:pPr>
        <w:spacing w:after="120"/>
      </w:pPr>
      <w:r>
        <w:t xml:space="preserve">Campus One accompagne des candidats vers différentes filières de formation à l'étranger, notamment en France, et gère aujourd'hui une partie de ce parcours de façon manuelle (mails, documents transmis à la main). Le projet consiste à construire un écosystème digital complet, structuré en trois briques :</w:t>
      </w:r>
    </w:p>
    <w:p>
      <w:pPr>
        <w:pStyle w:val="ListParagraph"/>
        <w:numPr>
          <w:ilvl w:val="0"/>
          <w:numId w:val="2"/>
        </w:numPr>
        <w:spacing w:after="60"/>
      </w:pPr>
      <w:r>
        <w:t xml:space="preserve">un site vitrine commercial, destiné à informer les visiteurs, présenter le catalogue de formations et convertir les visiteurs en candidats ;</w:t>
      </w:r>
    </w:p>
    <w:p>
      <w:pPr>
        <w:pStyle w:val="ListParagraph"/>
        <w:numPr>
          <w:ilvl w:val="0"/>
          <w:numId w:val="2"/>
        </w:numPr>
        <w:spacing w:after="60"/>
      </w:pPr>
      <w:r>
        <w:t xml:space="preserve">un espace candidat / étudiant, sur le modèle d'Erasmus+ ou de Campus France, pour déposer une candidature, suivre son dossier et échanger avec son conseiller ;</w:t>
      </w:r>
    </w:p>
    <w:p>
      <w:pPr>
        <w:pStyle w:val="ListParagraph"/>
        <w:numPr>
          <w:ilvl w:val="0"/>
          <w:numId w:val="2"/>
        </w:numPr>
        <w:spacing w:after="60"/>
      </w:pPr>
      <w:r>
        <w:t xml:space="preserve">un back-office de gestion, permettant aux équipes Campus One de piloter les dossiers, les campagnes annuelles, les documents, les paiements et les rendez-vous, avec un contrôle total et personnalisable sur les étapes de traitement.</w:t>
      </w:r>
    </w:p>
    <w:p>
      <w:pPr>
        <w:spacing w:after="120"/>
      </w:pPr>
      <w:r>
        <w:t xml:space="preserve">L'ambition finale est de faire de Campus One un écosystème unique couvrant l'intégralité du parcours étudiant :</w:t>
      </w:r>
    </w:p>
    <w:p>
      <w:pPr>
        <w:spacing w:after="120"/>
        <w:jc w:val="center"/>
      </w:pPr>
      <w:r>
        <w:rPr>
          <w:b/>
          <w:bCs/>
          <w:color w:val="1B2A4A"/>
        </w:rPr>
        <w:t xml:space="preserve">ORIENTATION → FORMATION → ADMISSION → CAMPUS FRANCE → VISA → VOYAGE → LOGEMENT → INSTALLATION → SUIVI</w:t>
      </w:r>
    </w:p>
    <w:p>
      <w:pPr>
        <w:spacing w:after="120"/>
      </w:pPr>
      <w:r>
        <w:t xml:space="preserve">Le concept « ONE » exprime la promesse d'une plateforme unique couvrant l'ensemble du parcours étudiant. L'architecture technique et graphique doit rester suffisamment évolutive pour accueillir de nouveaux établissements, pays et services sans refonte complète.</w:t>
      </w:r>
    </w:p>
    <w:p>
      <w:pPr>
        <w:pStyle w:val="Heading1"/>
        <w:pBdr>
          <w:bottom w:val="single" w:color="B08A3E" w:sz="6" w:space="4"/>
        </w:pBdr>
        <w:spacing w:after="200" w:before="400"/>
      </w:pPr>
      <w:r>
        <w:t xml:space="preserve">2. Contexte et objectifs</w:t>
      </w:r>
    </w:p>
    <w:p>
      <w:pPr>
        <w:spacing w:after="120"/>
      </w:pPr>
      <w:r>
        <w:t xml:space="preserve">Le processus actuel repose sur des échanges épars — mails, documents transmis à la main — qui rendent le suivi lourd dès que le volume de candidats grossit. La constitution des dossiers implique la collecte, la vérification, la correction, le suivi et l'archivage d'un volume important de documents personnels et académiques, pour le compte de plusieurs filières et destinations.</w:t>
      </w:r>
    </w:p>
    <w:p>
      <w:pPr>
        <w:pStyle w:val="Heading2"/>
        <w:spacing w:after="120" w:before="280"/>
      </w:pPr>
      <w:r>
        <w:t xml:space="preserve">2.1 Objectifs</w:t>
      </w:r>
    </w:p>
    <w:p>
      <w:pPr>
        <w:pStyle w:val="ListParagraph"/>
        <w:numPr>
          <w:ilvl w:val="0"/>
          <w:numId w:val="2"/>
        </w:numPr>
        <w:spacing w:after="60"/>
      </w:pPr>
      <w:r>
        <w:t xml:space="preserve">Fluidifier le parcours du candidat tout en donnant au gestionnaire un contrôle total et personnalisable sur les étapes de traitement.</w:t>
      </w:r>
    </w:p>
    <w:p>
      <w:pPr>
        <w:pStyle w:val="ListParagraph"/>
        <w:numPr>
          <w:ilvl w:val="0"/>
          <w:numId w:val="2"/>
        </w:numPr>
        <w:spacing w:after="60"/>
      </w:pPr>
      <w:r>
        <w:t xml:space="preserve">Centraliser les informations, documents, échanges, validations et échéances liés à chaque dossier étudiant.</w:t>
      </w:r>
    </w:p>
    <w:p>
      <w:pPr>
        <w:pStyle w:val="ListParagraph"/>
        <w:numPr>
          <w:ilvl w:val="0"/>
          <w:numId w:val="2"/>
        </w:numPr>
        <w:spacing w:after="60"/>
      </w:pPr>
      <w:r>
        <w:t xml:space="preserve">Structurer les dossiers par campagne annuelle (ex. 2026-2027, 2027-2028) et permettre à un même étudiant de disposer de plusieurs dossiers.</w:t>
      </w:r>
    </w:p>
    <w:p>
      <w:pPr>
        <w:pStyle w:val="ListParagraph"/>
        <w:numPr>
          <w:ilvl w:val="0"/>
          <w:numId w:val="2"/>
        </w:numPr>
        <w:spacing w:after="60"/>
      </w:pPr>
      <w:r>
        <w:t xml:space="preserve">Automatiser la génération de checklists documentaires selon le profil et la procédure, tout en permettant l'ajout libre de nouveaux types de documents.</w:t>
      </w:r>
    </w:p>
    <w:p>
      <w:pPr>
        <w:pStyle w:val="ListParagraph"/>
        <w:numPr>
          <w:ilvl w:val="0"/>
          <w:numId w:val="2"/>
        </w:numPr>
        <w:spacing w:after="60"/>
      </w:pPr>
      <w:r>
        <w:t xml:space="preserve">Permettre aux agents de ne traiter que les dossiers qui leur sont affectés.</w:t>
      </w:r>
    </w:p>
    <w:p>
      <w:pPr>
        <w:pStyle w:val="ListParagraph"/>
        <w:numPr>
          <w:ilvl w:val="0"/>
          <w:numId w:val="2"/>
        </w:numPr>
        <w:spacing w:after="60"/>
      </w:pPr>
      <w:r>
        <w:t xml:space="preserve">Donner à l'administration une vision consolidée de l'activité, des dossiers, des paiements et des performances opérationnelles.</w:t>
      </w:r>
    </w:p>
    <w:p>
      <w:pPr>
        <w:pStyle w:val="ListParagraph"/>
        <w:numPr>
          <w:ilvl w:val="0"/>
          <w:numId w:val="2"/>
        </w:numPr>
        <w:spacing w:after="60"/>
      </w:pPr>
      <w:r>
        <w:t xml:space="preserve">Garantir la sécurité, la confidentialité, la traçabilité et une approche de protection des données dès la conception.</w:t>
      </w:r>
    </w:p>
    <w:p>
      <w:pPr>
        <w:pStyle w:val="ListParagraph"/>
        <w:numPr>
          <w:ilvl w:val="0"/>
          <w:numId w:val="2"/>
        </w:numPr>
        <w:spacing w:after="60"/>
      </w:pPr>
      <w:r>
        <w:t xml:space="preserve">Préparer une architecture extensible à d'autres destinations sans reconstruire le socle applicatif.</w:t>
      </w:r>
    </w:p>
    <w:p>
      <w:pPr>
        <w:pStyle w:val="Heading2"/>
        <w:spacing w:after="120" w:before="280"/>
      </w:pPr>
      <w:r>
        <w:t xml:space="preserve">2.2 Double objectif du site</w:t>
      </w:r>
    </w:p>
    <w:p>
      <w:pPr>
        <w:spacing w:after="120"/>
      </w:pPr>
      <w:r>
        <w:t xml:space="preserve">Le site a un double objectif : commercial, afin de convertir les visiteurs en candidats, et opérationnel, afin de permettre à Campus One de gérer progressivement les dossiers étudiants au sein d'une même plateforme cohérente.</w:t>
      </w:r>
    </w:p>
    <w:p>
      <w:pPr>
        <w:pStyle w:val="Heading1"/>
        <w:pBdr>
          <w:bottom w:val="single" w:color="B08A3E" w:sz="6" w:space="4"/>
        </w:pBdr>
        <w:spacing w:after="200" w:before="400"/>
      </w:pPr>
      <w:r>
        <w:t xml:space="preserve">3. Public cible et positionnement</w:t>
      </w:r>
    </w:p>
    <w:p>
      <w:pPr>
        <w:spacing w:after="120"/>
      </w:pPr>
      <w:r>
        <w:t xml:space="preserve">Le site cible principalement les étudiants nationaux, avec une priorité possible pour l'Afrique francophone souhaitant étudier en France et, à terme, dans d'autres destinations. Il s'adresse également aux parents, aux établissements d'enseignement supérieur partenaires et aux partenaires de Campus One : logement, assurance, financement, voyage, etc.</w:t>
      </w:r>
    </w:p>
    <w:p>
      <w:pPr>
        <w:pStyle w:val="Heading1"/>
        <w:pBdr>
          <w:bottom w:val="single" w:color="B08A3E" w:sz="6" w:space="4"/>
        </w:pBdr>
        <w:spacing w:after="200" w:before="400"/>
      </w:pPr>
      <w:r>
        <w:t xml:space="preserve">4. Utilisateurs et rôles</w:t>
      </w:r>
    </w:p>
    <w:p>
      <w:pPr>
        <w:spacing w:after="120"/>
      </w:pPr>
      <w:r>
        <w:t xml:space="preserve">La plateforme distingue les utilisateurs côté candidat/étudiant et les utilisateurs internes Campus One, avec des rôles et habilitations différenciés côté back-office.</w:t>
      </w:r>
    </w:p>
    <w:p>
      <w:pPr>
        <w:pStyle w:val="Heading2"/>
        <w:spacing w:after="120" w:before="280"/>
      </w:pPr>
      <w:r>
        <w:t xml:space="preserve">4.1 Candidat / Étudiant</w:t>
      </w:r>
    </w:p>
    <w:p>
      <w:pPr>
        <w:pStyle w:val="ListParagraph"/>
        <w:numPr>
          <w:ilvl w:val="0"/>
          <w:numId w:val="2"/>
        </w:numPr>
        <w:spacing w:after="60"/>
      </w:pPr>
      <w:r>
        <w:t xml:space="preserve">Crée son compte à partir de son e-mail (et/ou numéro de téléphone), avec authentification renforcée.</w:t>
      </w:r>
    </w:p>
    <w:p>
      <w:pPr>
        <w:pStyle w:val="ListParagraph"/>
        <w:numPr>
          <w:ilvl w:val="0"/>
          <w:numId w:val="2"/>
        </w:numPr>
        <w:spacing w:after="60"/>
      </w:pPr>
      <w:r>
        <w:t xml:space="preserve">Consulte le catalogue de formations, dépose une ou plusieurs candidatures, suit l'avancement de son ou ses dossiers.</w:t>
      </w:r>
    </w:p>
    <w:p>
      <w:pPr>
        <w:pStyle w:val="ListParagraph"/>
        <w:numPr>
          <w:ilvl w:val="0"/>
          <w:numId w:val="2"/>
        </w:numPr>
        <w:spacing w:after="60"/>
      </w:pPr>
      <w:r>
        <w:t xml:space="preserve">Dépose ses documents, échange avec son conseiller/agent, consulte ses statuts, échéances et rendez-vous.</w:t>
      </w:r>
    </w:p>
    <w:p>
      <w:pPr>
        <w:pStyle w:val="ListParagraph"/>
        <w:numPr>
          <w:ilvl w:val="0"/>
          <w:numId w:val="2"/>
        </w:numPr>
        <w:spacing w:after="60"/>
      </w:pPr>
      <w:r>
        <w:t xml:space="preserve">Un même compte peut porter plusieurs candidatures simultanées, y compris sur plusieurs campagnes.</w:t>
      </w:r>
    </w:p>
    <w:p>
      <w:pPr>
        <w:pStyle w:val="Heading2"/>
        <w:spacing w:after="120" w:before="280"/>
      </w:pPr>
      <w:r>
        <w:t xml:space="preserve">4.2 Rôles internes Campus One (back-office)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7400"/>
      </w:tblGrid>
      <w:tr>
        <w:tc>
          <w:tcPr>
            <w:shd w:fill="1B2A4A" w:val="clear"/>
            <w:tcMar>
              <w:top w:type="dxa" w:w="80"/>
              <w:left w:type="dxa" w:w="100"/>
              <w:bottom w:type="dxa" w:w="80"/>
              <w:right w:type="dxa" w:w="100"/>
            </w:tcMar>
            <w:vAlign w:val="center"/>
          </w:tcPr>
          <w:p>
            <w:pPr>
              <w:jc w:val="left"/>
            </w:pPr>
            <w:r>
              <w:rPr>
                <w:b/>
                <w:bCs/>
                <w:color w:val="FFFFFF"/>
                <w:sz w:val="20"/>
                <w:szCs w:val="20"/>
              </w:rPr>
              <w:t xml:space="preserve">Rôle</w:t>
            </w:r>
          </w:p>
        </w:tc>
        <w:tc>
          <w:tcPr>
            <w:shd w:fill="1B2A4A" w:val="clear"/>
            <w:tcMar>
              <w:top w:type="dxa" w:w="80"/>
              <w:left w:type="dxa" w:w="100"/>
              <w:bottom w:type="dxa" w:w="80"/>
              <w:right w:type="dxa" w:w="100"/>
            </w:tcMar>
            <w:vAlign w:val="center"/>
          </w:tcPr>
          <w:p>
            <w:pPr>
              <w:jc w:val="left"/>
            </w:pPr>
            <w:r>
              <w:rPr>
                <w:b/>
                <w:bCs/>
                <w:color w:val="FFFFFF"/>
                <w:sz w:val="20"/>
                <w:szCs w:val="20"/>
              </w:rPr>
              <w:t xml:space="preserve">Responsabilités</w:t>
            </w:r>
          </w:p>
        </w:tc>
      </w:tr>
      <w:tr>
        <w:tc>
          <w:tcPr>
            <w:tcMar>
              <w:top w:type="dxa" w:w="80"/>
              <w:left w:type="dxa" w:w="100"/>
              <w:bottom w:type="dxa" w:w="80"/>
              <w:right w:type="dxa" w:w="100"/>
            </w:tcMar>
            <w:vAlign w:val="center"/>
          </w:tcPr>
          <w:p>
            <w:pPr>
              <w:jc w:val="left"/>
            </w:pPr>
            <w:r>
              <w:rPr>
                <w:b/>
                <w:bCs/>
                <w:color w:val="222222"/>
                <w:sz w:val="20"/>
                <w:szCs w:val="20"/>
              </w:rPr>
              <w:t xml:space="preserve">Conseiller / Agent</w:t>
            </w:r>
          </w:p>
        </w:tc>
        <w:tc>
          <w:tcPr>
            <w:tcMar>
              <w:top w:type="dxa" w:w="80"/>
              <w:left w:type="dxa" w:w="100"/>
              <w:bottom w:type="dxa" w:w="80"/>
              <w:right w:type="dxa" w:w="100"/>
            </w:tcMar>
            <w:vAlign w:val="center"/>
          </w:tcPr>
          <w:p>
            <w:pPr>
              <w:jc w:val="left"/>
            </w:pPr>
            <w:r>
              <w:rPr>
                <w:b w:val="false"/>
                <w:bCs w:val="false"/>
                <w:color w:val="222222"/>
                <w:sz w:val="20"/>
                <w:szCs w:val="20"/>
              </w:rPr>
              <w:t xml:space="preserve">Traite les étudiants qui lui sont affectés, contrôle les documents, demande des corrections, échange avec l'étudiant, ajoute des notes internes, suit les échéances et gère les rendez-vous.</w:t>
            </w:r>
          </w:p>
        </w:tc>
      </w:tr>
      <w:tr>
        <w:tc>
          <w:tcPr>
            <w:tcMar>
              <w:top w:type="dxa" w:w="80"/>
              <w:left w:type="dxa" w:w="100"/>
              <w:bottom w:type="dxa" w:w="80"/>
              <w:right w:type="dxa" w:w="100"/>
            </w:tcMar>
            <w:vAlign w:val="center"/>
          </w:tcPr>
          <w:p>
            <w:pPr>
              <w:jc w:val="left"/>
            </w:pPr>
            <w:r>
              <w:rPr>
                <w:b/>
                <w:bCs/>
                <w:color w:val="222222"/>
                <w:sz w:val="20"/>
                <w:szCs w:val="20"/>
              </w:rPr>
              <w:t xml:space="preserve">Responsable admissions</w:t>
            </w:r>
          </w:p>
        </w:tc>
        <w:tc>
          <w:tcPr>
            <w:tcMar>
              <w:top w:type="dxa" w:w="80"/>
              <w:left w:type="dxa" w:w="100"/>
              <w:bottom w:type="dxa" w:w="80"/>
              <w:right w:type="dxa" w:w="100"/>
            </w:tcMar>
            <w:vAlign w:val="center"/>
          </w:tcPr>
          <w:p>
            <w:pPr>
              <w:jc w:val="left"/>
            </w:pPr>
            <w:r>
              <w:rPr>
                <w:b w:val="false"/>
                <w:bCs w:val="false"/>
                <w:color w:val="222222"/>
                <w:sz w:val="20"/>
                <w:szCs w:val="20"/>
              </w:rPr>
              <w:t xml:space="preserve">Supervise le traitement des dossiers et l'avancement des admissions par filière.</w:t>
            </w:r>
          </w:p>
        </w:tc>
      </w:tr>
      <w:tr>
        <w:tc>
          <w:tcPr>
            <w:tcMar>
              <w:top w:type="dxa" w:w="80"/>
              <w:left w:type="dxa" w:w="100"/>
              <w:bottom w:type="dxa" w:w="80"/>
              <w:right w:type="dxa" w:w="100"/>
            </w:tcMar>
            <w:vAlign w:val="center"/>
          </w:tcPr>
          <w:p>
            <w:pPr>
              <w:jc w:val="left"/>
            </w:pPr>
            <w:r>
              <w:rPr>
                <w:b/>
                <w:bCs/>
                <w:color w:val="222222"/>
                <w:sz w:val="20"/>
                <w:szCs w:val="20"/>
              </w:rPr>
              <w:t xml:space="preserve">Superviseur</w:t>
            </w:r>
          </w:p>
        </w:tc>
        <w:tc>
          <w:tcPr>
            <w:tcMar>
              <w:top w:type="dxa" w:w="80"/>
              <w:left w:type="dxa" w:w="100"/>
              <w:bottom w:type="dxa" w:w="80"/>
              <w:right w:type="dxa" w:w="100"/>
            </w:tcMar>
            <w:vAlign w:val="center"/>
          </w:tcPr>
          <w:p>
            <w:pPr>
              <w:jc w:val="left"/>
            </w:pPr>
            <w:r>
              <w:rPr>
                <w:b w:val="false"/>
                <w:bCs w:val="false"/>
                <w:color w:val="222222"/>
                <w:sz w:val="20"/>
                <w:szCs w:val="20"/>
              </w:rPr>
              <w:t xml:space="preserve">Supervise les dossiers et les agents, peut réaffecter un dossier et suit l'activité opérationnelle.</w:t>
            </w:r>
          </w:p>
        </w:tc>
      </w:tr>
      <w:tr>
        <w:tc>
          <w:tcPr>
            <w:tcMar>
              <w:top w:type="dxa" w:w="80"/>
              <w:left w:type="dxa" w:w="100"/>
              <w:bottom w:type="dxa" w:w="80"/>
              <w:right w:type="dxa" w:w="100"/>
            </w:tcMar>
            <w:vAlign w:val="center"/>
          </w:tcPr>
          <w:p>
            <w:pPr>
              <w:jc w:val="left"/>
            </w:pPr>
            <w:r>
              <w:rPr>
                <w:b/>
                <w:bCs/>
                <w:color w:val="222222"/>
                <w:sz w:val="20"/>
                <w:szCs w:val="20"/>
              </w:rPr>
              <w:t xml:space="preserve">Comptabilité</w:t>
            </w:r>
          </w:p>
        </w:tc>
        <w:tc>
          <w:tcPr>
            <w:tcMar>
              <w:top w:type="dxa" w:w="80"/>
              <w:left w:type="dxa" w:w="100"/>
              <w:bottom w:type="dxa" w:w="80"/>
              <w:right w:type="dxa" w:w="100"/>
            </w:tcMar>
            <w:vAlign w:val="center"/>
          </w:tcPr>
          <w:p>
            <w:pPr>
              <w:jc w:val="left"/>
            </w:pPr>
            <w:r>
              <w:rPr>
                <w:b w:val="false"/>
                <w:bCs w:val="false"/>
                <w:color w:val="222222"/>
                <w:sz w:val="20"/>
                <w:szCs w:val="20"/>
              </w:rPr>
              <w:t xml:space="preserve">Suit les paiements enregistrés, valide les bordereaux de dépôt bancaire, accède aux reçus.</w:t>
            </w:r>
          </w:p>
        </w:tc>
      </w:tr>
      <w:tr>
        <w:tc>
          <w:tcPr>
            <w:tcMar>
              <w:top w:type="dxa" w:w="80"/>
              <w:left w:type="dxa" w:w="100"/>
              <w:bottom w:type="dxa" w:w="80"/>
              <w:right w:type="dxa" w:w="100"/>
            </w:tcMar>
            <w:vAlign w:val="center"/>
          </w:tcPr>
          <w:p>
            <w:pPr>
              <w:jc w:val="left"/>
            </w:pPr>
            <w:r>
              <w:rPr>
                <w:b/>
                <w:bCs/>
                <w:color w:val="222222"/>
                <w:sz w:val="20"/>
                <w:szCs w:val="20"/>
              </w:rPr>
              <w:t xml:space="preserve">Administrateur</w:t>
            </w:r>
          </w:p>
        </w:tc>
        <w:tc>
          <w:tcPr>
            <w:tcMar>
              <w:top w:type="dxa" w:w="80"/>
              <w:left w:type="dxa" w:w="100"/>
              <w:bottom w:type="dxa" w:w="80"/>
              <w:right w:type="dxa" w:w="100"/>
            </w:tcMar>
            <w:vAlign w:val="center"/>
          </w:tcPr>
          <w:p>
            <w:pPr>
              <w:jc w:val="left"/>
            </w:pPr>
            <w:r>
              <w:rPr>
                <w:b w:val="false"/>
                <w:bCs w:val="false"/>
                <w:color w:val="222222"/>
                <w:sz w:val="20"/>
                <w:szCs w:val="20"/>
              </w:rPr>
              <w:t xml:space="preserve">Administre les comptes, campagnes, checklists, types de documents, affectations, paramètres, catalogue de formations, rôles/permissions, et valide la complétude finale des dossiers. Accès complet, y compris configuration système.</w:t>
            </w:r>
          </w:p>
        </w:tc>
      </w:tr>
      <w:tr>
        <w:tc>
          <w:tcPr>
            <w:tcMar>
              <w:top w:type="dxa" w:w="80"/>
              <w:left w:type="dxa" w:w="100"/>
              <w:bottom w:type="dxa" w:w="80"/>
              <w:right w:type="dxa" w:w="100"/>
            </w:tcMar>
            <w:vAlign w:val="center"/>
          </w:tcPr>
          <w:p>
            <w:pPr>
              <w:jc w:val="left"/>
            </w:pPr>
            <w:r>
              <w:rPr>
                <w:b/>
                <w:bCs/>
                <w:color w:val="222222"/>
                <w:sz w:val="20"/>
                <w:szCs w:val="20"/>
              </w:rPr>
              <w:t xml:space="preserve">Gestionnaire simple</w:t>
            </w:r>
          </w:p>
        </w:tc>
        <w:tc>
          <w:tcPr>
            <w:tcMar>
              <w:top w:type="dxa" w:w="80"/>
              <w:left w:type="dxa" w:w="100"/>
              <w:bottom w:type="dxa" w:w="80"/>
              <w:right w:type="dxa" w:w="100"/>
            </w:tcMar>
            <w:vAlign w:val="center"/>
          </w:tcPr>
          <w:p>
            <w:pPr>
              <w:jc w:val="left"/>
            </w:pPr>
            <w:r>
              <w:rPr>
                <w:b w:val="false"/>
                <w:bCs w:val="false"/>
                <w:color w:val="222222"/>
                <w:sz w:val="20"/>
                <w:szCs w:val="20"/>
              </w:rPr>
              <w:t xml:space="preserve">Gestion courante des dossiers et candidats, sans accès à la configuration système.</w:t>
            </w:r>
          </w:p>
        </w:tc>
      </w:tr>
      <w:tr>
        <w:tc>
          <w:tcPr>
            <w:tcMar>
              <w:top w:type="dxa" w:w="80"/>
              <w:left w:type="dxa" w:w="100"/>
              <w:bottom w:type="dxa" w:w="80"/>
              <w:right w:type="dxa" w:w="100"/>
            </w:tcMar>
            <w:vAlign w:val="center"/>
          </w:tcPr>
          <w:p>
            <w:pPr>
              <w:jc w:val="left"/>
            </w:pPr>
            <w:r>
              <w:rPr>
                <w:b/>
                <w:bCs/>
                <w:color w:val="222222"/>
                <w:sz w:val="20"/>
                <w:szCs w:val="20"/>
              </w:rPr>
              <w:t xml:space="preserve">Direction</w:t>
            </w:r>
          </w:p>
        </w:tc>
        <w:tc>
          <w:tcPr>
            <w:tcMar>
              <w:top w:type="dxa" w:w="80"/>
              <w:left w:type="dxa" w:w="100"/>
              <w:bottom w:type="dxa" w:w="80"/>
              <w:right w:type="dxa" w:w="100"/>
            </w:tcMar>
            <w:vAlign w:val="center"/>
          </w:tcPr>
          <w:p>
            <w:pPr>
              <w:jc w:val="left"/>
            </w:pPr>
            <w:r>
              <w:rPr>
                <w:b w:val="false"/>
                <w:bCs w:val="false"/>
                <w:color w:val="222222"/>
                <w:sz w:val="20"/>
                <w:szCs w:val="20"/>
              </w:rPr>
              <w:t xml:space="preserve">Accède aux indicateurs consolidés et aux fonctions de pilotage autorisées.</w:t>
            </w:r>
          </w:p>
        </w:tc>
      </w:tr>
      <w:tr>
        <w:tc>
          <w:tcPr>
            <w:tcMar>
              <w:top w:type="dxa" w:w="80"/>
              <w:left w:type="dxa" w:w="100"/>
              <w:bottom w:type="dxa" w:w="80"/>
              <w:right w:type="dxa" w:w="100"/>
            </w:tcMar>
            <w:vAlign w:val="center"/>
          </w:tcPr>
          <w:p>
            <w:pPr>
              <w:jc w:val="left"/>
            </w:pPr>
            <w:r>
              <w:rPr>
                <w:b/>
                <w:bCs/>
                <w:color w:val="222222"/>
                <w:sz w:val="20"/>
                <w:szCs w:val="20"/>
              </w:rPr>
              <w:t xml:space="preserve">Partenaire (agent externe)</w:t>
            </w:r>
          </w:p>
        </w:tc>
        <w:tc>
          <w:tcPr>
            <w:tcMar>
              <w:top w:type="dxa" w:w="80"/>
              <w:left w:type="dxa" w:w="100"/>
              <w:bottom w:type="dxa" w:w="80"/>
              <w:right w:type="dxa" w:w="100"/>
            </w:tcMar>
            <w:vAlign w:val="center"/>
          </w:tcPr>
          <w:p>
            <w:pPr>
              <w:jc w:val="left"/>
            </w:pPr>
            <w:r>
              <w:rPr>
                <w:b w:val="false"/>
                <w:bCs w:val="false"/>
                <w:color w:val="222222"/>
                <w:sz w:val="20"/>
                <w:szCs w:val="20"/>
              </w:rPr>
              <w:t xml:space="preserve">Personne ou structure orientant des candidats vers Campus One via un code partenaire ; reçoit en copie les communications relatives aux candidats qu'il a orientés.</w:t>
            </w:r>
          </w:p>
        </w:tc>
      </w:tr>
    </w:tbl>
    <w:p>
      <w:pPr>
        <w:spacing w:after="120"/>
      </w:pPr>
      <w:r>
        <w:t xml:space="preserve">Le back-office doit permettre de créer et ajuster des profils au-delà de ces rôles de base, via une interface de configuration des rôles, sans intervention technique.</w:t>
      </w:r>
    </w:p>
    <w:p>
      <w:pPr>
        <w:pBdr>
          <w:left w:val="single" w:color="B08A3E" w:sz="18" w:space="8"/>
        </w:pBdr>
        <w:shd w:fill="FBF3E3" w:val="clear"/>
        <w:spacing w:after="160" w:before="100"/>
      </w:pPr>
      <w:r>
        <w:rPr>
          <w:i/>
          <w:iCs/>
          <w:color w:val="6B5416"/>
          <w:sz w:val="20"/>
          <w:szCs w:val="20"/>
        </w:rPr>
        <w:t xml:space="preserve">Hypothèse de dimensionnement initial : environ 20 collaborateurs côté Campus One.</w:t>
      </w:r>
    </w:p>
    <w:p>
      <w:pPr>
        <w:pStyle w:val="Heading1"/>
        <w:pBdr>
          <w:bottom w:val="single" w:color="B08A3E" w:sz="6" w:space="4"/>
        </w:pBdr>
        <w:spacing w:after="200" w:before="400"/>
      </w:pPr>
      <w:r>
        <w:t xml:space="preserve">5. Site vitrine (front commercial)</w:t>
      </w:r>
    </w:p>
    <w:p>
      <w:pPr>
        <w:pStyle w:val="Heading2"/>
        <w:spacing w:after="120" w:before="280"/>
      </w:pPr>
      <w:r>
        <w:t xml:space="preserve">5.1 Architecture et menu principal</w:t>
      </w:r>
    </w:p>
    <w:p>
      <w:pPr>
        <w:spacing w:after="120"/>
      </w:pPr>
      <w:r>
        <w:t xml:space="preserve">Menu principal recommandé :</w:t>
      </w:r>
    </w:p>
    <w:p>
      <w:pPr>
        <w:spacing w:after="120"/>
      </w:pPr>
      <w:r>
        <w:rPr>
          <w:b/>
          <w:bCs/>
          <w:sz w:val="20"/>
          <w:szCs w:val="20"/>
        </w:rPr>
        <w:t xml:space="preserve">ACCUEIL | ÉTUDIER À L'ÉTRANGER | FORMATIONS | NOS SERVICES | NOS PARTENAIRES | COMMENT ÇA MARCHE ? | CANDIDATER | ACTUALITÉS | CONTACT | MON ESPACE</w:t>
      </w:r>
    </w:p>
    <w:p>
      <w:pPr>
        <w:pStyle w:val="Heading3"/>
        <w:spacing w:after="80" w:before="200"/>
      </w:pPr>
      <w:r>
        <w:t xml:space="preserve">Page d'accueil</w:t>
      </w:r>
    </w:p>
    <w:p>
      <w:pPr>
        <w:pStyle w:val="ListParagraph"/>
        <w:numPr>
          <w:ilvl w:val="0"/>
          <w:numId w:val="2"/>
        </w:numPr>
        <w:spacing w:after="60"/>
      </w:pPr>
      <w:r>
        <w:t xml:space="preserve">Grande bannière avec la promesse : « Votre avenir n'a pas de frontières. Construisez votre projet d'études à l'international avec Campus One. »</w:t>
      </w:r>
    </w:p>
    <w:p>
      <w:pPr>
        <w:pStyle w:val="ListParagraph"/>
        <w:numPr>
          <w:ilvl w:val="0"/>
          <w:numId w:val="2"/>
        </w:numPr>
        <w:spacing w:after="60"/>
      </w:pPr>
      <w:r>
        <w:t xml:space="preserve">Boutons « Trouver ma formation » et « Déposer ma candidature ».</w:t>
      </w:r>
    </w:p>
    <w:p>
      <w:pPr>
        <w:pStyle w:val="ListParagraph"/>
        <w:numPr>
          <w:ilvl w:val="0"/>
          <w:numId w:val="2"/>
        </w:numPr>
        <w:spacing w:after="60"/>
      </w:pPr>
      <w:r>
        <w:t xml:space="preserve">Moteur de recherche : diplôme, niveau, domaine, destination, ville et budget.</w:t>
      </w:r>
    </w:p>
    <w:p>
      <w:pPr>
        <w:pStyle w:val="ListParagraph"/>
        <w:numPr>
          <w:ilvl w:val="0"/>
          <w:numId w:val="2"/>
        </w:numPr>
        <w:spacing w:after="60"/>
      </w:pPr>
      <w:r>
        <w:t xml:space="preserve">Chiffres clés : formations, écoles partenaires, destinations, étudiants accompagnés.</w:t>
      </w:r>
    </w:p>
    <w:p>
      <w:pPr>
        <w:pStyle w:val="ListParagraph"/>
        <w:numPr>
          <w:ilvl w:val="0"/>
          <w:numId w:val="2"/>
        </w:numPr>
        <w:spacing w:after="60"/>
      </w:pPr>
      <w:r>
        <w:t xml:space="preserve">Présentation du parcours : Orientation → Admission → Campus France → Visa → Logement → Installation.</w:t>
      </w:r>
    </w:p>
    <w:p>
      <w:pPr>
        <w:pStyle w:val="Heading2"/>
        <w:spacing w:after="120" w:before="280"/>
      </w:pPr>
      <w:r>
        <w:t xml:space="preserve">5.2 Catalogue des formations</w:t>
      </w:r>
    </w:p>
    <w:p>
      <w:pPr>
        <w:spacing w:after="120"/>
      </w:pPr>
      <w:r>
        <w:t xml:space="preserve">Le catalogue constitue une fonctionnalité centrale du site. Filtres recommandés : pays de destination, ville, niveau d'études, domaine, établissement, type de diplôme, rentrée, budget/frais de scolarité, langue d'enseignement.</w:t>
      </w:r>
    </w:p>
    <w:p>
      <w:pPr>
        <w:spacing w:after="120"/>
      </w:pPr>
      <w:r>
        <w:t xml:space="preserve">Chaque résultat affiche l'intitulé, la ville, le niveau, la durée, les frais indicatifs et l'établissement, avec les boutons « Voir la formation » et « Candidater ».</w:t>
      </w:r>
    </w:p>
    <w:p>
      <w:pPr>
        <w:pStyle w:val="Heading2"/>
        <w:spacing w:after="120" w:before="280"/>
      </w:pPr>
      <w:r>
        <w:t xml:space="preserve">5.3 Fiche détaillée de formation</w:t>
      </w:r>
    </w:p>
    <w:p>
      <w:pPr>
        <w:spacing w:after="120"/>
      </w:pPr>
      <w:r>
        <w:t xml:space="preserve">Chaque formation comporte :</w:t>
      </w:r>
    </w:p>
    <w:p>
      <w:pPr>
        <w:pStyle w:val="ListParagraph"/>
        <w:numPr>
          <w:ilvl w:val="0"/>
          <w:numId w:val="2"/>
        </w:numPr>
        <w:spacing w:after="60"/>
      </w:pPr>
      <w:r>
        <w:t xml:space="preserve">Présentation générale : nom de la formation, établissement, campus/ville, niveau, diplôme ou titre préparé, reconnaissance éventuelle, rentrée, durée et rythme, frais de scolarité, villes disponibles lorsque la formation est proposée à plusieurs endroits.</w:t>
      </w:r>
    </w:p>
    <w:p>
      <w:pPr>
        <w:pStyle w:val="ListParagraph"/>
        <w:numPr>
          <w:ilvl w:val="0"/>
          <w:numId w:val="2"/>
        </w:numPr>
        <w:spacing w:after="60"/>
      </w:pPr>
      <w:r>
        <w:t xml:space="preserve">Conditions d'admission : diplôme requis, niveau académique et linguistique, documents demandés.</w:t>
      </w:r>
    </w:p>
    <w:p>
      <w:pPr>
        <w:pStyle w:val="ListParagraph"/>
        <w:numPr>
          <w:ilvl w:val="0"/>
          <w:numId w:val="2"/>
        </w:numPr>
        <w:spacing w:after="60"/>
      </w:pPr>
      <w:r>
        <w:t xml:space="preserve">Programme, débouchés professionnels, poursuites d'études.</w:t>
      </w:r>
    </w:p>
    <w:p>
      <w:pPr>
        <w:pStyle w:val="ListParagraph"/>
        <w:numPr>
          <w:ilvl w:val="0"/>
          <w:numId w:val="2"/>
        </w:numPr>
        <w:spacing w:after="60"/>
      </w:pPr>
      <w:r>
        <w:t xml:space="preserve">Bouton « CANDIDATER À CETTE FORMATION » clairement visible depuis la fiche et le catalogue.</w:t>
      </w:r>
    </w:p>
    <w:p>
      <w:pPr>
        <w:pStyle w:val="Heading2"/>
        <w:spacing w:after="120" w:before="280"/>
      </w:pPr>
      <w:r>
        <w:t xml:space="preserve">5.4 Orientation personnalisée</w:t>
      </w:r>
    </w:p>
    <w:p>
      <w:pPr>
        <w:spacing w:after="120"/>
      </w:pPr>
      <w:r>
        <w:t xml:space="preserve">Fonction « Je ne sais pas quelle formation choisir » : le candidat remplit un questionnaire (diplôme actuel, domaine d'études, résultats académiques, expérience professionnelle, métier souhaité, pays souhaité, budget, niveau linguistique). Campus One propose ensuite plusieurs formations cohérentes avec le profil ; une recommandation automatisée assistée par IA pourra être ajoutée dans une version ultérieure (voir §16, Phase 3).</w:t>
      </w:r>
    </w:p>
    <w:p>
      <w:pPr>
        <w:pStyle w:val="Heading2"/>
        <w:spacing w:after="120" w:before="280"/>
      </w:pPr>
      <w:r>
        <w:t xml:space="preserve">5.5 Page « Comment ça marche ? »</w:t>
      </w:r>
    </w:p>
    <w:p>
      <w:pPr>
        <w:spacing w:after="120"/>
      </w:pPr>
      <w:r>
        <w:t xml:space="preserve">Parcours présenté en huit étapes :</w:t>
      </w:r>
    </w:p>
    <w:p>
      <w:pPr>
        <w:pStyle w:val="ListParagraph"/>
        <w:numPr>
          <w:ilvl w:val="0"/>
          <w:numId w:val="2"/>
        </w:numPr>
        <w:spacing w:after="60"/>
      </w:pPr>
      <w:r>
        <w:t xml:space="preserve">01 – Diagnostic &amp; orientation</w:t>
      </w:r>
    </w:p>
    <w:p>
      <w:pPr>
        <w:pStyle w:val="ListParagraph"/>
        <w:numPr>
          <w:ilvl w:val="0"/>
          <w:numId w:val="2"/>
        </w:numPr>
        <w:spacing w:after="60"/>
      </w:pPr>
      <w:r>
        <w:t xml:space="preserve">02 – Sélection des formations</w:t>
      </w:r>
    </w:p>
    <w:p>
      <w:pPr>
        <w:pStyle w:val="ListParagraph"/>
        <w:numPr>
          <w:ilvl w:val="0"/>
          <w:numId w:val="2"/>
        </w:numPr>
        <w:spacing w:after="60"/>
      </w:pPr>
      <w:r>
        <w:t xml:space="preserve">03 – Candidature</w:t>
      </w:r>
    </w:p>
    <w:p>
      <w:pPr>
        <w:pStyle w:val="ListParagraph"/>
        <w:numPr>
          <w:ilvl w:val="0"/>
          <w:numId w:val="2"/>
        </w:numPr>
        <w:spacing w:after="60"/>
      </w:pPr>
      <w:r>
        <w:t xml:space="preserve">04 – Admission</w:t>
      </w:r>
    </w:p>
    <w:p>
      <w:pPr>
        <w:pStyle w:val="ListParagraph"/>
        <w:numPr>
          <w:ilvl w:val="0"/>
          <w:numId w:val="2"/>
        </w:numPr>
        <w:spacing w:after="60"/>
      </w:pPr>
      <w:r>
        <w:t xml:space="preserve">05 – Campus France, lorsque la procédure s'applique</w:t>
      </w:r>
    </w:p>
    <w:p>
      <w:pPr>
        <w:pStyle w:val="ListParagraph"/>
        <w:numPr>
          <w:ilvl w:val="0"/>
          <w:numId w:val="2"/>
        </w:numPr>
        <w:spacing w:after="60"/>
      </w:pPr>
      <w:r>
        <w:t xml:space="preserve">06 – Accompagnement à la préparation du dossier de visa, sans garantie d'obtention</w:t>
      </w:r>
    </w:p>
    <w:p>
      <w:pPr>
        <w:pStyle w:val="ListParagraph"/>
        <w:numPr>
          <w:ilvl w:val="0"/>
          <w:numId w:val="2"/>
        </w:numPr>
        <w:spacing w:after="60"/>
      </w:pPr>
      <w:r>
        <w:t xml:space="preserve">07 – Préparation du départ : logement, assurance, transport, démarches préparatoires</w:t>
      </w:r>
    </w:p>
    <w:p>
      <w:pPr>
        <w:pStyle w:val="ListParagraph"/>
        <w:numPr>
          <w:ilvl w:val="0"/>
          <w:numId w:val="2"/>
        </w:numPr>
        <w:spacing w:after="60"/>
      </w:pPr>
      <w:r>
        <w:t xml:space="preserve">08 – Installation et suivi à l'arrivée</w:t>
      </w:r>
    </w:p>
    <w:p>
      <w:pPr>
        <w:pStyle w:val="Heading2"/>
        <w:spacing w:after="120" w:before="280"/>
      </w:pPr>
      <w:r>
        <w:t xml:space="preserve">5.6 Page « Nos services »</w:t>
      </w:r>
    </w:p>
    <w:p>
      <w:pPr>
        <w:spacing w:after="120"/>
      </w:pPr>
      <w:r>
        <w:t xml:space="preserve">Offre d'accompagnement à 360° : orientation académique, admission, accompagnement Campus France, accompagnement administratif visa, logement étudiant, voyage, installation, suivi étudiant après l'arrivée.</w:t>
      </w:r>
    </w:p>
    <w:p>
      <w:pPr>
        <w:pStyle w:val="Heading2"/>
        <w:spacing w:after="120" w:before="280"/>
      </w:pPr>
      <w:r>
        <w:t xml:space="preserve">5.7 Écoles et établissements partenaires</w:t>
      </w:r>
    </w:p>
    <w:p>
      <w:pPr>
        <w:spacing w:after="120"/>
      </w:pPr>
      <w:r>
        <w:t xml:space="preserve">Page présentant les établissements avec lesquels Campus One dispose effectivement d'un partenariat. Chaque fiche présente : logo, nom, ville/campus, présentation, diplômes proposés, bouton « Voir les formations disponibles ».</w:t>
      </w:r>
    </w:p>
    <w:p>
      <w:pPr>
        <w:pStyle w:val="Heading2"/>
        <w:spacing w:after="120" w:before="280"/>
      </w:pPr>
      <w:r>
        <w:t xml:space="preserve">5.8 Destinations</w:t>
      </w:r>
    </w:p>
    <w:p>
      <w:pPr>
        <w:spacing w:after="120"/>
      </w:pPr>
      <w:r>
        <w:t xml:space="preserve">Architecture évolutive permettant d'ajouter plusieurs destinations (France, Belgique, Canada, Royaume-Uni, Allemagne, etc.). Chaque page destination présente le système d'enseignement, les conditions générales, le coût indicatif des études, le logement, les principales démarches et les formations disponibles. La première version se concentre sur la France.</w:t>
      </w:r>
    </w:p>
    <w:p>
      <w:pPr>
        <w:pStyle w:val="Heading2"/>
        <w:spacing w:after="120" w:before="280"/>
      </w:pPr>
      <w:r>
        <w:t xml:space="preserve">5.9 Contact et prise de contact</w:t>
      </w:r>
    </w:p>
    <w:p>
      <w:pPr>
        <w:pStyle w:val="ListParagraph"/>
        <w:numPr>
          <w:ilvl w:val="0"/>
          <w:numId w:val="2"/>
        </w:numPr>
        <w:spacing w:after="60"/>
      </w:pPr>
      <w:r>
        <w:t xml:space="preserve">Bouton WhatsApp flottant sur l'ensemble du site : « Besoin d'aide ? Discutez avec un conseiller Campus One. »</w:t>
      </w:r>
    </w:p>
    <w:p>
      <w:pPr>
        <w:pStyle w:val="ListParagraph"/>
        <w:numPr>
          <w:ilvl w:val="0"/>
          <w:numId w:val="2"/>
        </w:numPr>
        <w:spacing w:after="60"/>
      </w:pPr>
      <w:r>
        <w:t xml:space="preserve">Formulaire de contact.</w:t>
      </w:r>
    </w:p>
    <w:p>
      <w:pPr>
        <w:pStyle w:val="ListParagraph"/>
        <w:numPr>
          <w:ilvl w:val="0"/>
          <w:numId w:val="2"/>
        </w:numPr>
        <w:spacing w:after="60"/>
      </w:pPr>
      <w:r>
        <w:t xml:space="preserve">Prise de rendez-vous en visioconférence (optionnelle en V1).</w:t>
      </w:r>
    </w:p>
    <w:p>
      <w:pPr>
        <w:pStyle w:val="Heading2"/>
        <w:spacing w:after="120" w:before="280"/>
      </w:pPr>
      <w:r>
        <w:t xml:space="preserve">5.10 Blog / Actualités</w:t>
      </w:r>
    </w:p>
    <w:p>
      <w:pPr>
        <w:spacing w:after="120"/>
      </w:pPr>
      <w:r>
        <w:t xml:space="preserve">Espace de contenus pour publier des articles utiles et améliorer le référencement naturel : entretien Campus France, documents nécessaires, choix de master, budget étudiant, logement, erreurs à éviter, conseils d'installation, etc.</w:t>
      </w:r>
    </w:p>
    <w:p>
      <w:pPr>
        <w:pStyle w:val="Heading2"/>
        <w:spacing w:after="120" w:before="280"/>
      </w:pPr>
      <w:r>
        <w:t xml:space="preserve">5.11 Design et identité visuelle</w:t>
      </w:r>
    </w:p>
    <w:p>
      <w:pPr>
        <w:pStyle w:val="ListParagraph"/>
        <w:numPr>
          <w:ilvl w:val="0"/>
          <w:numId w:val="2"/>
        </w:numPr>
        <w:spacing w:after="60"/>
      </w:pPr>
      <w:r>
        <w:t xml:space="preserve">Identité premium, moderne, rassurante et internationale. Signature : « CAMPUS ONE — Study • Move • Succeed ».</w:t>
      </w:r>
    </w:p>
    <w:p>
      <w:pPr>
        <w:pStyle w:val="ListParagraph"/>
        <w:numPr>
          <w:ilvl w:val="0"/>
          <w:numId w:val="2"/>
        </w:numPr>
        <w:spacing w:after="60"/>
      </w:pPr>
      <w:r>
        <w:t xml:space="preserve">Conception mobile-first, parfaitement adaptée aux tablettes et ordinateurs.</w:t>
      </w:r>
    </w:p>
    <w:p>
      <w:pPr>
        <w:pStyle w:val="ListParagraph"/>
        <w:numPr>
          <w:ilvl w:val="0"/>
          <w:numId w:val="2"/>
        </w:numPr>
        <w:spacing w:after="60"/>
      </w:pPr>
      <w:r>
        <w:t xml:space="preserve">Liens vers WhatsApp, Instagram, Facebook, LinkedIn et éventuellement TikTok.</w:t>
      </w:r>
    </w:p>
    <w:p>
      <w:pPr>
        <w:pStyle w:val="Heading1"/>
        <w:pBdr>
          <w:bottom w:val="single" w:color="B08A3E" w:sz="6" w:space="4"/>
        </w:pBdr>
        <w:spacing w:after="200" w:before="400"/>
      </w:pPr>
      <w:r>
        <w:t xml:space="preserve">6. Espace candidat / étudiant (front-office applicatif)</w:t>
      </w:r>
    </w:p>
    <w:p>
      <w:pPr>
        <w:pStyle w:val="Heading2"/>
        <w:spacing w:after="120" w:before="280"/>
      </w:pPr>
      <w:r>
        <w:t xml:space="preserve">6.1 Création de compte et authentification</w:t>
      </w:r>
    </w:p>
    <w:p>
      <w:pPr>
        <w:pStyle w:val="ListParagraph"/>
        <w:numPr>
          <w:ilvl w:val="0"/>
          <w:numId w:val="2"/>
        </w:numPr>
        <w:spacing w:after="60"/>
      </w:pPr>
      <w:r>
        <w:t xml:space="preserve">Création de compte par email + mot de passe (et/ou numéro de téléphone).</w:t>
      </w:r>
    </w:p>
    <w:p>
      <w:pPr>
        <w:pStyle w:val="ListParagraph"/>
        <w:numPr>
          <w:ilvl w:val="0"/>
          <w:numId w:val="2"/>
        </w:numPr>
        <w:spacing w:after="60"/>
      </w:pPr>
      <w:r>
        <w:t xml:space="preserve">Double authentification (2FA) par code envoyé par email à chaque connexion — MFA obligatoire à minima côté agents, superviseurs et administrateurs.</w:t>
      </w:r>
    </w:p>
    <w:p>
      <w:pPr>
        <w:pStyle w:val="ListParagraph"/>
        <w:numPr>
          <w:ilvl w:val="0"/>
          <w:numId w:val="2"/>
        </w:numPr>
        <w:spacing w:after="60"/>
      </w:pPr>
      <w:r>
        <w:t xml:space="preserve">Mécanisme sécurisé de réinitialisation du mot de passe.</w:t>
      </w:r>
    </w:p>
    <w:p>
      <w:pPr>
        <w:pStyle w:val="ListParagraph"/>
        <w:numPr>
          <w:ilvl w:val="0"/>
          <w:numId w:val="2"/>
        </w:numPr>
        <w:spacing w:after="60"/>
      </w:pPr>
      <w:r>
        <w:t xml:space="preserve">Saisie des informations personnelles du candidat, avec un champ optionnel pour un code partenaire.</w:t>
      </w:r>
    </w:p>
    <w:p>
      <w:pPr>
        <w:pStyle w:val="ListParagraph"/>
        <w:numPr>
          <w:ilvl w:val="0"/>
          <w:numId w:val="2"/>
        </w:numPr>
        <w:spacing w:after="60"/>
      </w:pPr>
      <w:r>
        <w:t xml:space="preserve">Le compte ou la demande d'accès peut être soumis à validation par un agent Campus One avant l'activation complète du parcours applicatif (au-delà de la simple navigation sur le catalogue).</w:t>
      </w:r>
    </w:p>
    <w:p>
      <w:pPr>
        <w:pBdr>
          <w:left w:val="single" w:color="B08A3E" w:sz="18" w:space="8"/>
        </w:pBdr>
        <w:shd w:fill="FBF3E3" w:val="clear"/>
        <w:spacing w:after="160" w:before="100"/>
      </w:pPr>
      <w:r>
        <w:rPr>
          <w:i/>
          <w:iCs/>
          <w:color w:val="6B5416"/>
          <w:sz w:val="20"/>
          <w:szCs w:val="20"/>
        </w:rPr>
        <w:t xml:space="preserve">Point d'arbitrage : la suppression de la 2FA après la première connexion réussie est envisagée en confort (nice to have), à valider après tests avec le client — à mettre en balance avec l'exigence de MFA pour les rôles internes, qui reste non négociable.</w:t>
      </w:r>
    </w:p>
    <w:p>
      <w:pPr>
        <w:pStyle w:val="Heading2"/>
        <w:spacing w:after="120" w:before="280"/>
      </w:pPr>
      <w:r>
        <w:t xml:space="preserve">6.2 Candidature en ligne</w:t>
      </w:r>
    </w:p>
    <w:p>
      <w:pPr>
        <w:spacing w:after="120"/>
      </w:pPr>
      <w:r>
        <w:t xml:space="preserve">Parcours de candidature en cinq étapes :</w:t>
      </w:r>
    </w:p>
    <w:p>
      <w:pPr>
        <w:pStyle w:val="ListParagraph"/>
        <w:numPr>
          <w:ilvl w:val="0"/>
          <w:numId w:val="2"/>
        </w:numPr>
        <w:spacing w:after="60"/>
      </w:pPr>
      <w:r>
        <w:t xml:space="preserve">Étape 1 – Informations personnelles : nom, prénom, date de naissance, nationalité, pays de résidence, téléphone/WhatsApp, email.</w:t>
      </w:r>
    </w:p>
    <w:p>
      <w:pPr>
        <w:pStyle w:val="ListParagraph"/>
        <w:numPr>
          <w:ilvl w:val="0"/>
          <w:numId w:val="2"/>
        </w:numPr>
        <w:spacing w:after="60"/>
      </w:pPr>
      <w:r>
        <w:t xml:space="preserve">Étape 2 – Parcours académique : dernier diplôme, établissement, année d'obtention, moyenne, domaine.</w:t>
      </w:r>
    </w:p>
    <w:p>
      <w:pPr>
        <w:pStyle w:val="ListParagraph"/>
        <w:numPr>
          <w:ilvl w:val="0"/>
          <w:numId w:val="2"/>
        </w:numPr>
        <w:spacing w:after="60"/>
      </w:pPr>
      <w:r>
        <w:t xml:space="preserve">Étape 3 – Projet : niveau recherché (Licence 1, 2, 3, Master 1, Master 2, etc.), domaine, formation(s) souhaitée(s), ville/destination, rentrée.</w:t>
      </w:r>
    </w:p>
    <w:p>
      <w:pPr>
        <w:pStyle w:val="ListParagraph"/>
        <w:numPr>
          <w:ilvl w:val="0"/>
          <w:numId w:val="2"/>
        </w:numPr>
        <w:spacing w:after="60"/>
      </w:pPr>
      <w:r>
        <w:t xml:space="preserve">Étape 4 – Documents : passeport, CV, diplômes, relevés de notes, attestation de langue, lettre de motivation et autres justificatifs, au format PDF.</w:t>
      </w:r>
    </w:p>
    <w:p>
      <w:pPr>
        <w:pStyle w:val="ListParagraph"/>
        <w:numPr>
          <w:ilvl w:val="0"/>
          <w:numId w:val="2"/>
        </w:numPr>
        <w:spacing w:after="60"/>
      </w:pPr>
      <w:r>
        <w:t xml:space="preserve">Étape 5 – Validation et envoi de la candidature à l'équipe Campus One.</w:t>
      </w:r>
    </w:p>
    <w:p>
      <w:pPr>
        <w:pStyle w:val="ListParagraph"/>
        <w:numPr>
          <w:ilvl w:val="0"/>
          <w:numId w:val="2"/>
        </w:numPr>
        <w:spacing w:after="60"/>
      </w:pPr>
      <w:r>
        <w:t xml:space="preserve">Un même compte peut porter plusieurs candidatures simultanées, sur des formations différentes, avec un suivi distinct pour chacune.</w:t>
      </w:r>
    </w:p>
    <w:p>
      <w:pPr>
        <w:pStyle w:val="Heading2"/>
        <w:spacing w:after="120" w:before="280"/>
      </w:pPr>
      <w:r>
        <w:t xml:space="preserve">6.3 Espace personnel étudiant</w:t>
      </w:r>
    </w:p>
    <w:p>
      <w:pPr>
        <w:spacing w:after="120"/>
      </w:pPr>
      <w:r>
        <w:t xml:space="preserve">Chaque candidat dispose d'un espace sécurisé comprenant :</w:t>
      </w:r>
    </w:p>
    <w:p>
      <w:pPr>
        <w:pStyle w:val="ListParagraph"/>
        <w:numPr>
          <w:ilvl w:val="0"/>
          <w:numId w:val="2"/>
        </w:numPr>
        <w:spacing w:after="60"/>
      </w:pPr>
      <w:r>
        <w:t xml:space="preserve">Profil</w:t>
      </w:r>
    </w:p>
    <w:p>
      <w:pPr>
        <w:pStyle w:val="ListParagraph"/>
        <w:numPr>
          <w:ilvl w:val="0"/>
          <w:numId w:val="2"/>
        </w:numPr>
        <w:spacing w:after="60"/>
      </w:pPr>
      <w:r>
        <w:t xml:space="preserve">Mes candidatures / mes dossiers (le cas échéant répartis par campagne)</w:t>
      </w:r>
    </w:p>
    <w:p>
      <w:pPr>
        <w:pStyle w:val="ListParagraph"/>
        <w:numPr>
          <w:ilvl w:val="0"/>
          <w:numId w:val="2"/>
        </w:numPr>
        <w:spacing w:after="60"/>
      </w:pPr>
      <w:r>
        <w:t xml:space="preserve">Mes documents</w:t>
      </w:r>
    </w:p>
    <w:p>
      <w:pPr>
        <w:pStyle w:val="ListParagraph"/>
        <w:numPr>
          <w:ilvl w:val="0"/>
          <w:numId w:val="2"/>
        </w:numPr>
        <w:spacing w:after="60"/>
      </w:pPr>
      <w:r>
        <w:t xml:space="preserve">Mes paiements</w:t>
      </w:r>
    </w:p>
    <w:p>
      <w:pPr>
        <w:pStyle w:val="ListParagraph"/>
        <w:numPr>
          <w:ilvl w:val="0"/>
          <w:numId w:val="2"/>
        </w:numPr>
        <w:spacing w:after="60"/>
      </w:pPr>
      <w:r>
        <w:t xml:space="preserve">Mes rendez-vous</w:t>
      </w:r>
    </w:p>
    <w:p>
      <w:pPr>
        <w:pStyle w:val="ListParagraph"/>
        <w:numPr>
          <w:ilvl w:val="0"/>
          <w:numId w:val="2"/>
        </w:numPr>
        <w:spacing w:after="60"/>
      </w:pPr>
      <w:r>
        <w:t xml:space="preserve">Mes messages</w:t>
      </w:r>
    </w:p>
    <w:p>
      <w:pPr>
        <w:pStyle w:val="ListParagraph"/>
        <w:numPr>
          <w:ilvl w:val="0"/>
          <w:numId w:val="2"/>
        </w:numPr>
        <w:spacing w:after="60"/>
      </w:pPr>
      <w:r>
        <w:t xml:space="preserve">Avancement de mon dossier — exemple de suivi : Projet défini ✓ → Candidature déposée ✓ → Dossier étudié ✓ → Admission obtenue ✓ → Campus France en cours → Visa → Logement → Arrivée.</w:t>
      </w:r>
    </w:p>
    <w:p>
      <w:pPr>
        <w:pStyle w:val="Heading2"/>
        <w:spacing w:after="120" w:before="280"/>
      </w:pPr>
      <w:r>
        <w:t xml:space="preserve">6.4 Suivi et remarques</w:t>
      </w:r>
    </w:p>
    <w:p>
      <w:pPr>
        <w:pStyle w:val="ListParagraph"/>
        <w:numPr>
          <w:ilvl w:val="0"/>
          <w:numId w:val="2"/>
        </w:numPr>
        <w:spacing w:after="60"/>
      </w:pPr>
      <w:r>
        <w:t xml:space="preserve">Suivi du dossier en temps réel depuis l'espace candidat (statut, étape en cours).</w:t>
      </w:r>
    </w:p>
    <w:p>
      <w:pPr>
        <w:pStyle w:val="ListParagraph"/>
        <w:numPr>
          <w:ilvl w:val="0"/>
          <w:numId w:val="2"/>
        </w:numPr>
        <w:spacing w:after="60"/>
      </w:pPr>
      <w:r>
        <w:t xml:space="preserve">Page « Remarques » : le candidat y retrouve les observations laissées par le gestionnaire sur son dossier (document à corriger ou à compléter, information manquante), avec un email automatique l'invitant à se connecter pour apporter les modifications demandées.</w:t>
      </w:r>
    </w:p>
    <w:p>
      <w:pPr>
        <w:pStyle w:val="ListParagraph"/>
        <w:numPr>
          <w:ilvl w:val="0"/>
          <w:numId w:val="2"/>
        </w:numPr>
        <w:spacing w:after="60"/>
      </w:pPr>
      <w:r>
        <w:t xml:space="preserve">Messagerie intégrée entre l'étudiant et son agent, avec pièces jointes autorisées, distincte des documents officiels de la checklist.</w:t>
      </w:r>
    </w:p>
    <w:p>
      <w:pPr>
        <w:pStyle w:val="Heading2"/>
        <w:spacing w:after="120" w:before="280"/>
      </w:pPr>
      <w:r>
        <w:t xml:space="preserve">6.5 Prise de rendez-vous</w:t>
      </w:r>
    </w:p>
    <w:p>
      <w:pPr>
        <w:pStyle w:val="ListParagraph"/>
        <w:numPr>
          <w:ilvl w:val="0"/>
          <w:numId w:val="2"/>
        </w:numPr>
        <w:spacing w:after="60"/>
      </w:pPr>
      <w:r>
        <w:t xml:space="preserve">Le candidat réserve un créneau d'entretien depuis son espace, sur les créneaux ouverts par le gestionnaire.</w:t>
      </w:r>
    </w:p>
    <w:p>
      <w:pPr>
        <w:pStyle w:val="ListParagraph"/>
        <w:numPr>
          <w:ilvl w:val="0"/>
          <w:numId w:val="2"/>
        </w:numPr>
        <w:spacing w:after="60"/>
      </w:pPr>
      <w:r>
        <w:t xml:space="preserve">Une fois le rendez-vous validé, le candidat reçoit la confirmation avec les modalités : rendez-vous physique, lien de visioconférence externe (Google Meet) envoyé par email, ou appel vidéo intégré à la plateforme, selon le choix du gestionnaire pour ce rendez-vous.</w:t>
      </w:r>
    </w:p>
    <w:p>
      <w:pPr>
        <w:pStyle w:val="Heading1"/>
        <w:pBdr>
          <w:bottom w:val="single" w:color="B08A3E" w:sz="6" w:space="4"/>
        </w:pBdr>
        <w:spacing w:after="200" w:before="400"/>
      </w:pPr>
      <w:r>
        <w:t xml:space="preserve">7. Back-office de gestion</w:t>
      </w:r>
    </w:p>
    <w:p>
      <w:pPr>
        <w:pStyle w:val="Heading2"/>
        <w:spacing w:after="120" w:before="280"/>
      </w:pPr>
      <w:r>
        <w:t xml:space="preserve">7.1 Tableau de bord interne</w:t>
      </w:r>
    </w:p>
    <w:p>
      <w:pPr>
        <w:spacing w:after="120"/>
      </w:pPr>
      <w:r>
        <w:t xml:space="preserve">Le tableau de bord interne permet de suivre : nouveaux prospects, candidatures reçues, dossiers incomplets, dossiers en étude, admissions obtenues, procédures Campus France, dossiers visa, étudiants arrivés.</w:t>
      </w:r>
    </w:p>
    <w:p>
      <w:pPr>
        <w:spacing w:after="120"/>
      </w:pPr>
      <w:r>
        <w:t xml:space="preserve">Chaque fiche étudiant regroupe coordonnées, documents, formations demandées, conseiller responsable, statut, historique des échanges, paiements et observations internes.</w:t>
      </w:r>
    </w:p>
    <w:p>
      <w:pPr>
        <w:pStyle w:val="Heading2"/>
        <w:spacing w:after="120" w:before="280"/>
      </w:pPr>
      <w:r>
        <w:t xml:space="preserve">7.2 Gestion des comptes et des dossiers</w:t>
      </w:r>
    </w:p>
    <w:p>
      <w:pPr>
        <w:pStyle w:val="ListParagraph"/>
        <w:numPr>
          <w:ilvl w:val="0"/>
          <w:numId w:val="2"/>
        </w:numPr>
        <w:spacing w:after="60"/>
      </w:pPr>
      <w:r>
        <w:t xml:space="preserve">Gestion des comptes et des profils candidats (création, modification, consultation).</w:t>
      </w:r>
    </w:p>
    <w:p>
      <w:pPr>
        <w:pStyle w:val="ListParagraph"/>
        <w:numPr>
          <w:ilvl w:val="0"/>
          <w:numId w:val="2"/>
        </w:numPr>
        <w:spacing w:after="60"/>
      </w:pPr>
      <w:r>
        <w:t xml:space="preserve">Gestion des dossiers de candidature : consultation, modification, changement d'étape.</w:t>
      </w:r>
    </w:p>
    <w:p>
      <w:pPr>
        <w:pStyle w:val="ListParagraph"/>
        <w:numPr>
          <w:ilvl w:val="0"/>
          <w:numId w:val="2"/>
        </w:numPr>
        <w:spacing w:after="60"/>
      </w:pPr>
      <w:r>
        <w:t xml:space="preserve">Affectation et réaffectation des dossiers aux agents ; chaque agent ne traite que les dossiers qui lui sont affectés.</w:t>
      </w:r>
    </w:p>
    <w:p>
      <w:pPr>
        <w:pStyle w:val="ListParagraph"/>
        <w:numPr>
          <w:ilvl w:val="0"/>
          <w:numId w:val="2"/>
        </w:numPr>
        <w:spacing w:after="60"/>
      </w:pPr>
      <w:r>
        <w:t xml:space="preserve">Moteur d'étapes configurable par filière : chaque formation peut avoir son propre parcours de dossier (nombre d'étapes, intitulés, ordre), défini par le gestionnaire et non figé dans le code.</w:t>
      </w:r>
    </w:p>
    <w:p>
      <w:pPr>
        <w:pStyle w:val="ListParagraph"/>
        <w:numPr>
          <w:ilvl w:val="0"/>
          <w:numId w:val="2"/>
        </w:numPr>
        <w:spacing w:after="60"/>
      </w:pPr>
      <w:r>
        <w:t xml:space="preserve">Passage d'une étape à l'autre déclenché manuellement par le gestionnaire en V1 (pas d'automatisation basée sur des règles pour cette première version).</w:t>
      </w:r>
    </w:p>
    <w:p>
      <w:pPr>
        <w:pStyle w:val="Heading2"/>
        <w:spacing w:after="120" w:before="280"/>
      </w:pPr>
      <w:r>
        <w:t xml:space="preserve">7.3 Campagnes annuelles et dossiers</w:t>
      </w:r>
    </w:p>
    <w:p>
      <w:pPr>
        <w:pStyle w:val="ListParagraph"/>
        <w:numPr>
          <w:ilvl w:val="0"/>
          <w:numId w:val="2"/>
        </w:numPr>
        <w:spacing w:after="60"/>
      </w:pPr>
      <w:r>
        <w:t xml:space="preserve">Création des campagnes par l'administrateur, par exemple « France 2026-2027 ».</w:t>
      </w:r>
    </w:p>
    <w:p>
      <w:pPr>
        <w:pStyle w:val="ListParagraph"/>
        <w:numPr>
          <w:ilvl w:val="0"/>
          <w:numId w:val="2"/>
        </w:numPr>
        <w:spacing w:after="60"/>
      </w:pPr>
      <w:r>
        <w:t xml:space="preserve">Possibilité de dupliquer la configuration d'une campagne vers l'année suivante.</w:t>
      </w:r>
    </w:p>
    <w:p>
      <w:pPr>
        <w:pStyle w:val="ListParagraph"/>
        <w:numPr>
          <w:ilvl w:val="0"/>
          <w:numId w:val="2"/>
        </w:numPr>
        <w:spacing w:after="60"/>
      </w:pPr>
      <w:r>
        <w:t xml:space="preserve">Ouverture, fermeture et archivage des campagnes.</w:t>
      </w:r>
    </w:p>
    <w:p>
      <w:pPr>
        <w:pStyle w:val="ListParagraph"/>
        <w:numPr>
          <w:ilvl w:val="0"/>
          <w:numId w:val="2"/>
        </w:numPr>
        <w:spacing w:after="60"/>
      </w:pPr>
      <w:r>
        <w:t xml:space="preserve">Un étudiant conserve un compte unique mais peut disposer de dossiers sur plusieurs campagnes, et de plusieurs dossiers au sein d'une même campagne lorsque le besoin métier le justifie.</w:t>
      </w:r>
    </w:p>
    <w:p>
      <w:pPr>
        <w:pStyle w:val="ListParagraph"/>
        <w:numPr>
          <w:ilvl w:val="0"/>
          <w:numId w:val="2"/>
        </w:numPr>
        <w:spacing w:after="60"/>
      </w:pPr>
      <w:r>
        <w:t xml:space="preserve">Séparation stricte des données et statistiques par campagne.</w:t>
      </w:r>
    </w:p>
    <w:p>
      <w:pPr>
        <w:pStyle w:val="ListParagraph"/>
        <w:numPr>
          <w:ilvl w:val="0"/>
          <w:numId w:val="2"/>
        </w:numPr>
        <w:spacing w:after="60"/>
      </w:pPr>
      <w:r>
        <w:t xml:space="preserve">Conservation de l'historique des dossiers clôturés selon la politique de conservation applicable.</w:t>
      </w:r>
    </w:p>
    <w:p>
      <w:pPr>
        <w:pStyle w:val="Heading2"/>
        <w:spacing w:after="120" w:before="280"/>
      </w:pPr>
      <w:r>
        <w:t xml:space="preserve">7.4 Catalogue de formations</w:t>
      </w:r>
    </w:p>
    <w:p>
      <w:pPr>
        <w:pStyle w:val="ListParagraph"/>
        <w:numPr>
          <w:ilvl w:val="0"/>
          <w:numId w:val="2"/>
        </w:numPr>
        <w:spacing w:after="60"/>
      </w:pPr>
      <w:r>
        <w:t xml:space="preserve">Gestion du catalogue de formations et de leurs fiches (création, modification, publication) sans intervention systématique du développeur.</w:t>
      </w:r>
    </w:p>
    <w:p>
      <w:pPr>
        <w:pStyle w:val="ListParagraph"/>
        <w:numPr>
          <w:ilvl w:val="0"/>
          <w:numId w:val="2"/>
        </w:numPr>
        <w:spacing w:after="60"/>
      </w:pPr>
      <w:r>
        <w:t xml:space="preserve">Champs recommandés : école, intitulé, niveau, domaine, ville, campus, rentrée, durée, frais, prérequis, programme, débouchés, documents nécessaires, places disponibles, statut « Ouvert / Bientôt disponible / Candidatures closes ».</w:t>
      </w:r>
    </w:p>
    <w:p>
      <w:pPr>
        <w:pStyle w:val="Heading2"/>
        <w:spacing w:after="120" w:before="280"/>
      </w:pPr>
      <w:r>
        <w:t xml:space="preserve">7.5 Gestion des partenaires</w:t>
      </w:r>
    </w:p>
    <w:p>
      <w:pPr>
        <w:pStyle w:val="ListParagraph"/>
        <w:numPr>
          <w:ilvl w:val="0"/>
          <w:numId w:val="2"/>
        </w:numPr>
        <w:spacing w:after="60"/>
      </w:pPr>
      <w:r>
        <w:t xml:space="preserve">Les partenaires sont les personnes ou structures (agents, conseillers) qui orientent des étudiants vers les formations ; le candidat renseigne le code de son partenaire lors de la création de son compte.</w:t>
      </w:r>
    </w:p>
    <w:p>
      <w:pPr>
        <w:pStyle w:val="ListParagraph"/>
        <w:numPr>
          <w:ilvl w:val="0"/>
          <w:numId w:val="2"/>
        </w:numPr>
        <w:spacing w:after="60"/>
      </w:pPr>
      <w:r>
        <w:t xml:space="preserve">Création et gestion d'une fiche par partenaire (identité, email de contact, code) ; association ou correction manuelle du code d'un candidat qui l'aurait oublié.</w:t>
      </w:r>
    </w:p>
    <w:p>
      <w:pPr>
        <w:pStyle w:val="ListParagraph"/>
        <w:numPr>
          <w:ilvl w:val="0"/>
          <w:numId w:val="2"/>
        </w:numPr>
        <w:spacing w:after="60"/>
      </w:pPr>
      <w:r>
        <w:t xml:space="preserve">Copie automatique des mails au partenaire : dès qu'un code partenaire est renseigné sur un dossier, le partenaire reçoit une copie de tous les mails adressés au candidat (convocation, préadmission, admission…).</w:t>
      </w:r>
    </w:p>
    <w:p>
      <w:pPr>
        <w:pStyle w:val="Heading2"/>
        <w:spacing w:after="120" w:before="280"/>
      </w:pPr>
      <w:r>
        <w:t xml:space="preserve">7.6 Rendez-vous</w:t>
      </w:r>
    </w:p>
    <w:p>
      <w:pPr>
        <w:pStyle w:val="ListParagraph"/>
        <w:numPr>
          <w:ilvl w:val="0"/>
          <w:numId w:val="2"/>
        </w:numPr>
        <w:spacing w:after="60"/>
      </w:pPr>
      <w:r>
        <w:t xml:space="preserve">Ouverture de créneaux, validation ou refus des demandes de rendez-vous des candidats.</w:t>
      </w:r>
    </w:p>
    <w:p>
      <w:pPr>
        <w:pStyle w:val="ListParagraph"/>
        <w:numPr>
          <w:ilvl w:val="0"/>
          <w:numId w:val="2"/>
        </w:numPr>
        <w:spacing w:after="60"/>
      </w:pPr>
      <w:r>
        <w:t xml:space="preserve">Choix de la modalité (physique, lien Meet, visio intégrée).</w:t>
      </w:r>
    </w:p>
    <w:p>
      <w:pPr>
        <w:pStyle w:val="ListParagraph"/>
        <w:numPr>
          <w:ilvl w:val="0"/>
          <w:numId w:val="2"/>
        </w:numPr>
        <w:spacing w:after="60"/>
      </w:pPr>
      <w:r>
        <w:t xml:space="preserve">Échéances et rappels de relance pour les agents.</w:t>
      </w:r>
    </w:p>
    <w:p>
      <w:pPr>
        <w:pStyle w:val="Heading2"/>
        <w:spacing w:after="120" w:before="280"/>
      </w:pPr>
      <w:r>
        <w:t xml:space="preserve">7.7 Notes et remarques</w:t>
      </w:r>
    </w:p>
    <w:p>
      <w:pPr>
        <w:pStyle w:val="ListParagraph"/>
        <w:numPr>
          <w:ilvl w:val="0"/>
          <w:numId w:val="2"/>
        </w:numPr>
        <w:spacing w:after="60"/>
      </w:pPr>
      <w:r>
        <w:t xml:space="preserve">Ajout de remarques sur un dossier, visibles par le candidat, avec déclenchement automatique de l'email de notification correspondant.</w:t>
      </w:r>
    </w:p>
    <w:p>
      <w:pPr>
        <w:pStyle w:val="ListParagraph"/>
        <w:numPr>
          <w:ilvl w:val="0"/>
          <w:numId w:val="2"/>
        </w:numPr>
        <w:spacing w:after="60"/>
      </w:pPr>
      <w:r>
        <w:t xml:space="preserve">Notes internes Campus One, invisibles pour l'étudiant.</w:t>
      </w:r>
    </w:p>
    <w:p>
      <w:pPr>
        <w:pStyle w:val="Heading2"/>
        <w:spacing w:after="120" w:before="280"/>
      </w:pPr>
      <w:r>
        <w:t xml:space="preserve">7.8 Rôles et habilitations</w:t>
      </w:r>
    </w:p>
    <w:p>
      <w:pPr>
        <w:pStyle w:val="ListParagraph"/>
        <w:numPr>
          <w:ilvl w:val="0"/>
          <w:numId w:val="2"/>
        </w:numPr>
        <w:spacing w:after="60"/>
      </w:pPr>
      <w:r>
        <w:t xml:space="preserve">Gestion des rôles et profils back-office, avec au minimum deux profils prédéfinis : Administrateur (accès complet, y compris configuration des rôles et des étapes) et Gestionnaire simple (gestion courante, sans accès à la configuration système).</w:t>
      </w:r>
    </w:p>
    <w:p>
      <w:pPr>
        <w:pStyle w:val="ListParagraph"/>
        <w:numPr>
          <w:ilvl w:val="0"/>
          <w:numId w:val="2"/>
        </w:numPr>
        <w:spacing w:after="60"/>
      </w:pPr>
      <w:r>
        <w:t xml:space="preserve">Interface de configuration des rôles permettant de créer et ajuster des profils au-delà des deux profils de base (voir la table des rôles au §4.2).</w:t>
      </w:r>
    </w:p>
    <w:p>
      <w:pPr>
        <w:pStyle w:val="ListParagraph"/>
        <w:numPr>
          <w:ilvl w:val="0"/>
          <w:numId w:val="2"/>
        </w:numPr>
        <w:spacing w:after="60"/>
      </w:pPr>
      <w:r>
        <w:t xml:space="preserve">Contrôle d'accès par rôles et permissions (RBAC).</w:t>
      </w:r>
    </w:p>
    <w:p>
      <w:pPr>
        <w:pStyle w:val="Heading2"/>
        <w:spacing w:after="120" w:before="280"/>
      </w:pPr>
      <w:r>
        <w:t xml:space="preserve">7.9 Pilotage et reporting</w:t>
      </w:r>
    </w:p>
    <w:p>
      <w:pPr>
        <w:pStyle w:val="ListParagraph"/>
        <w:numPr>
          <w:ilvl w:val="0"/>
          <w:numId w:val="2"/>
        </w:numPr>
        <w:spacing w:after="60"/>
      </w:pPr>
      <w:r>
        <w:t xml:space="preserve">Recherche par nom, téléphone, e-mail, numéro de dossier, campagne et autres critères métier.</w:t>
      </w:r>
    </w:p>
    <w:p>
      <w:pPr>
        <w:pStyle w:val="ListParagraph"/>
        <w:numPr>
          <w:ilvl w:val="0"/>
          <w:numId w:val="2"/>
        </w:numPr>
        <w:spacing w:after="60"/>
      </w:pPr>
      <w:r>
        <w:t xml:space="preserve">Filtres par agent, campagne, destination, profil, statut, paiement et échéance.</w:t>
      </w:r>
    </w:p>
    <w:p>
      <w:pPr>
        <w:pStyle w:val="ListParagraph"/>
        <w:numPr>
          <w:ilvl w:val="0"/>
          <w:numId w:val="2"/>
        </w:numPr>
        <w:spacing w:after="60"/>
      </w:pPr>
      <w:r>
        <w:t xml:space="preserve">Tableaux de bord consolidés : dossiers actifs, incomplets, en vérification, complets, clôturés et nécessitant une action ; statistiques par formation, par partenaire, par statut.</w:t>
      </w:r>
    </w:p>
    <w:p>
      <w:pPr>
        <w:pStyle w:val="ListParagraph"/>
        <w:numPr>
          <w:ilvl w:val="0"/>
          <w:numId w:val="2"/>
        </w:numPr>
        <w:spacing w:after="60"/>
      </w:pPr>
      <w:r>
        <w:t xml:space="preserve">Indicateur de complétude par dossier.</w:t>
      </w:r>
    </w:p>
    <w:p>
      <w:pPr>
        <w:pStyle w:val="ListParagraph"/>
        <w:numPr>
          <w:ilvl w:val="0"/>
          <w:numId w:val="2"/>
        </w:numPr>
        <w:spacing w:after="60"/>
      </w:pPr>
      <w:r>
        <w:t xml:space="preserve">Journal d'audit des actions effectuées sur un dossier (qui a fait quoi, et quand) et historique complet des opérations.</w:t>
      </w:r>
    </w:p>
    <w:p>
      <w:pPr>
        <w:pStyle w:val="ListParagraph"/>
        <w:numPr>
          <w:ilvl w:val="0"/>
          <w:numId w:val="2"/>
        </w:numPr>
        <w:spacing w:after="60"/>
      </w:pPr>
      <w:r>
        <w:t xml:space="preserve">Export des données candidats/dossiers autorisées (CSV ou Excel).</w:t>
      </w:r>
    </w:p>
    <w:p>
      <w:pPr>
        <w:pStyle w:val="Heading1"/>
        <w:pBdr>
          <w:bottom w:val="single" w:color="B08A3E" w:sz="6" w:space="4"/>
        </w:pBdr>
        <w:spacing w:after="200" w:before="400"/>
      </w:pPr>
      <w:r>
        <w:t xml:space="preserve">8. Gestion documentaire (GED)</w:t>
      </w:r>
    </w:p>
    <w:p>
      <w:pPr>
        <w:spacing w:after="120"/>
      </w:pPr>
      <w:r>
        <w:t xml:space="preserve">La plateforme constitue une GED métier centrée sur les dossiers étudiants. Les checklists de documents ne sont pas codées en dur : elles sont configurables par l'administration afin de suivre l'évolution des procédures et des profils.</w:t>
      </w:r>
    </w:p>
    <w:p>
      <w:pPr>
        <w:pStyle w:val="ListParagraph"/>
        <w:numPr>
          <w:ilvl w:val="0"/>
          <w:numId w:val="2"/>
        </w:numPr>
        <w:spacing w:after="60"/>
      </w:pPr>
      <w:r>
        <w:t xml:space="preserve">Format accepté en V1 : PDF uniquement.</w:t>
      </w:r>
    </w:p>
    <w:p>
      <w:pPr>
        <w:pStyle w:val="ListParagraph"/>
        <w:numPr>
          <w:ilvl w:val="0"/>
          <w:numId w:val="2"/>
        </w:numPr>
        <w:spacing w:after="60"/>
      </w:pPr>
      <w:r>
        <w:t xml:space="preserve">Taille maximale par fichier : 10 à 20 Mo selon le type de document (à harmoniser en phase de spécifications détaillées — voir §14).</w:t>
      </w:r>
    </w:p>
    <w:p>
      <w:pPr>
        <w:pStyle w:val="ListParagraph"/>
        <w:numPr>
          <w:ilvl w:val="0"/>
          <w:numId w:val="2"/>
        </w:numPr>
        <w:spacing w:after="60"/>
      </w:pPr>
      <w:r>
        <w:t xml:space="preserve">Documents obligatoires ou facultatifs, selon le profil et la procédure.</w:t>
      </w:r>
    </w:p>
    <w:p>
      <w:pPr>
        <w:pStyle w:val="ListParagraph"/>
        <w:numPr>
          <w:ilvl w:val="0"/>
          <w:numId w:val="2"/>
        </w:numPr>
        <w:spacing w:after="60"/>
      </w:pPr>
      <w:r>
        <w:t xml:space="preserve">Création de types de documents par l'administrateur ; fonction « + Ajouter un document » pour couvrir les demandes exceptionnelles.</w:t>
      </w:r>
    </w:p>
    <w:p>
      <w:pPr>
        <w:pStyle w:val="ListParagraph"/>
        <w:numPr>
          <w:ilvl w:val="0"/>
          <w:numId w:val="2"/>
        </w:numPr>
        <w:spacing w:after="60"/>
      </w:pPr>
      <w:r>
        <w:t xml:space="preserve">Conservation des versions successives lorsqu'un document est remplacé.</w:t>
      </w:r>
    </w:p>
    <w:p>
      <w:pPr>
        <w:pStyle w:val="ListParagraph"/>
        <w:numPr>
          <w:ilvl w:val="0"/>
          <w:numId w:val="2"/>
        </w:numPr>
        <w:spacing w:after="60"/>
      </w:pPr>
      <w:r>
        <w:t xml:space="preserve">Téléchargement groupé du dossier (ZIP) pour les utilisateurs habilités.</w:t>
      </w:r>
    </w:p>
    <w:p>
      <w:pPr>
        <w:pStyle w:val="ListParagraph"/>
        <w:numPr>
          <w:ilvl w:val="0"/>
          <w:numId w:val="2"/>
        </w:numPr>
        <w:spacing w:after="60"/>
      </w:pPr>
      <w:r>
        <w:t xml:space="preserve">Génération d'un PDF récapitulatif du dossier.</w:t>
      </w:r>
    </w:p>
    <w:p>
      <w:pPr>
        <w:pStyle w:val="ListParagraph"/>
        <w:numPr>
          <w:ilvl w:val="0"/>
          <w:numId w:val="2"/>
        </w:numPr>
        <w:spacing w:after="60"/>
      </w:pPr>
      <w:r>
        <w:t xml:space="preserve">Possibilité de filigraner certains documents lors de la consultation ou du téléchargement.</w:t>
      </w:r>
    </w:p>
    <w:p>
      <w:pPr>
        <w:pStyle w:val="ListParagraph"/>
        <w:numPr>
          <w:ilvl w:val="0"/>
          <w:numId w:val="2"/>
        </w:numPr>
        <w:spacing w:after="60"/>
      </w:pPr>
      <w:r>
        <w:t xml:space="preserve">Les pièces jointes de messagerie restent distinctes des documents officiels de la checklist.</w:t>
      </w:r>
    </w:p>
    <w:p>
      <w:pPr>
        <w:pStyle w:val="Heading2"/>
        <w:spacing w:after="120" w:before="280"/>
      </w:pPr>
      <w:r>
        <w:t xml:space="preserve">8.1 Workflow de validation documentaire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7200"/>
      </w:tblGrid>
      <w:tr>
        <w:tc>
          <w:tcPr>
            <w:shd w:fill="1B2A4A" w:val="clear"/>
            <w:tcMar>
              <w:top w:type="dxa" w:w="80"/>
              <w:left w:type="dxa" w:w="100"/>
              <w:bottom w:type="dxa" w:w="80"/>
              <w:right w:type="dxa" w:w="100"/>
            </w:tcMar>
            <w:vAlign w:val="center"/>
          </w:tcPr>
          <w:p>
            <w:pPr>
              <w:jc w:val="left"/>
            </w:pPr>
            <w:r>
              <w:rPr>
                <w:b/>
                <w:bCs/>
                <w:color w:val="FFFFFF"/>
                <w:sz w:val="20"/>
                <w:szCs w:val="20"/>
              </w:rPr>
              <w:t xml:space="preserve">Statut</w:t>
            </w:r>
          </w:p>
        </w:tc>
        <w:tc>
          <w:tcPr>
            <w:shd w:fill="1B2A4A" w:val="clear"/>
            <w:tcMar>
              <w:top w:type="dxa" w:w="80"/>
              <w:left w:type="dxa" w:w="100"/>
              <w:bottom w:type="dxa" w:w="80"/>
              <w:right w:type="dxa" w:w="100"/>
            </w:tcMar>
            <w:vAlign w:val="center"/>
          </w:tcPr>
          <w:p>
            <w:pPr>
              <w:jc w:val="left"/>
            </w:pPr>
            <w:r>
              <w:rPr>
                <w:b/>
                <w:bCs/>
                <w:color w:val="FFFFFF"/>
                <w:sz w:val="20"/>
                <w:szCs w:val="20"/>
              </w:rPr>
              <w:t xml:space="preserve">Définition</w:t>
            </w:r>
          </w:p>
        </w:tc>
      </w:tr>
      <w:tr>
        <w:tc>
          <w:tcPr>
            <w:tcMar>
              <w:top w:type="dxa" w:w="80"/>
              <w:left w:type="dxa" w:w="100"/>
              <w:bottom w:type="dxa" w:w="80"/>
              <w:right w:type="dxa" w:w="100"/>
            </w:tcMar>
            <w:vAlign w:val="center"/>
          </w:tcPr>
          <w:p>
            <w:pPr>
              <w:jc w:val="left"/>
            </w:pPr>
            <w:r>
              <w:rPr>
                <w:b w:val="false"/>
                <w:bCs w:val="false"/>
                <w:color w:val="222222"/>
                <w:sz w:val="20"/>
                <w:szCs w:val="20"/>
              </w:rPr>
              <w:t xml:space="preserve">À fournir</w:t>
            </w:r>
          </w:p>
        </w:tc>
        <w:tc>
          <w:tcPr>
            <w:tcMar>
              <w:top w:type="dxa" w:w="80"/>
              <w:left w:type="dxa" w:w="100"/>
              <w:bottom w:type="dxa" w:w="80"/>
              <w:right w:type="dxa" w:w="100"/>
            </w:tcMar>
            <w:vAlign w:val="center"/>
          </w:tcPr>
          <w:p>
            <w:pPr>
              <w:jc w:val="left"/>
            </w:pPr>
            <w:r>
              <w:rPr>
                <w:b w:val="false"/>
                <w:bCs w:val="false"/>
                <w:color w:val="222222"/>
                <w:sz w:val="20"/>
                <w:szCs w:val="20"/>
              </w:rPr>
              <w:t xml:space="preserve">Pièce attendue mais non encore déposée.</w:t>
            </w:r>
          </w:p>
        </w:tc>
      </w:tr>
      <w:tr>
        <w:tc>
          <w:tcPr>
            <w:tcMar>
              <w:top w:type="dxa" w:w="80"/>
              <w:left w:type="dxa" w:w="100"/>
              <w:bottom w:type="dxa" w:w="80"/>
              <w:right w:type="dxa" w:w="100"/>
            </w:tcMar>
            <w:vAlign w:val="center"/>
          </w:tcPr>
          <w:p>
            <w:pPr>
              <w:jc w:val="left"/>
            </w:pPr>
            <w:r>
              <w:rPr>
                <w:b w:val="false"/>
                <w:bCs w:val="false"/>
                <w:color w:val="222222"/>
                <w:sz w:val="20"/>
                <w:szCs w:val="20"/>
              </w:rPr>
              <w:t xml:space="preserve">Déposé</w:t>
            </w:r>
          </w:p>
        </w:tc>
        <w:tc>
          <w:tcPr>
            <w:tcMar>
              <w:top w:type="dxa" w:w="80"/>
              <w:left w:type="dxa" w:w="100"/>
              <w:bottom w:type="dxa" w:w="80"/>
              <w:right w:type="dxa" w:w="100"/>
            </w:tcMar>
            <w:vAlign w:val="center"/>
          </w:tcPr>
          <w:p>
            <w:pPr>
              <w:jc w:val="left"/>
            </w:pPr>
            <w:r>
              <w:rPr>
                <w:b w:val="false"/>
                <w:bCs w:val="false"/>
                <w:color w:val="222222"/>
                <w:sz w:val="20"/>
                <w:szCs w:val="20"/>
              </w:rPr>
              <w:t xml:space="preserve">Fichier transmis par l'étudiant.</w:t>
            </w:r>
          </w:p>
        </w:tc>
      </w:tr>
      <w:tr>
        <w:tc>
          <w:tcPr>
            <w:tcMar>
              <w:top w:type="dxa" w:w="80"/>
              <w:left w:type="dxa" w:w="100"/>
              <w:bottom w:type="dxa" w:w="80"/>
              <w:right w:type="dxa" w:w="100"/>
            </w:tcMar>
            <w:vAlign w:val="center"/>
          </w:tcPr>
          <w:p>
            <w:pPr>
              <w:jc w:val="left"/>
            </w:pPr>
            <w:r>
              <w:rPr>
                <w:b w:val="false"/>
                <w:bCs w:val="false"/>
                <w:color w:val="222222"/>
                <w:sz w:val="20"/>
                <w:szCs w:val="20"/>
              </w:rPr>
              <w:t xml:space="preserve">En vérification</w:t>
            </w:r>
          </w:p>
        </w:tc>
        <w:tc>
          <w:tcPr>
            <w:tcMar>
              <w:top w:type="dxa" w:w="80"/>
              <w:left w:type="dxa" w:w="100"/>
              <w:bottom w:type="dxa" w:w="80"/>
              <w:right w:type="dxa" w:w="100"/>
            </w:tcMar>
            <w:vAlign w:val="center"/>
          </w:tcPr>
          <w:p>
            <w:pPr>
              <w:jc w:val="left"/>
            </w:pPr>
            <w:r>
              <w:rPr>
                <w:b w:val="false"/>
                <w:bCs w:val="false"/>
                <w:color w:val="222222"/>
                <w:sz w:val="20"/>
                <w:szCs w:val="20"/>
              </w:rPr>
              <w:t xml:space="preserve">Pièce prise en charge par l'agent.</w:t>
            </w:r>
          </w:p>
        </w:tc>
      </w:tr>
      <w:tr>
        <w:tc>
          <w:tcPr>
            <w:tcMar>
              <w:top w:type="dxa" w:w="80"/>
              <w:left w:type="dxa" w:w="100"/>
              <w:bottom w:type="dxa" w:w="80"/>
              <w:right w:type="dxa" w:w="100"/>
            </w:tcMar>
            <w:vAlign w:val="center"/>
          </w:tcPr>
          <w:p>
            <w:pPr>
              <w:jc w:val="left"/>
            </w:pPr>
            <w:r>
              <w:rPr>
                <w:b w:val="false"/>
                <w:bCs w:val="false"/>
                <w:color w:val="222222"/>
                <w:sz w:val="20"/>
                <w:szCs w:val="20"/>
              </w:rPr>
              <w:t xml:space="preserve">À corriger</w:t>
            </w:r>
          </w:p>
        </w:tc>
        <w:tc>
          <w:tcPr>
            <w:tcMar>
              <w:top w:type="dxa" w:w="80"/>
              <w:left w:type="dxa" w:w="100"/>
              <w:bottom w:type="dxa" w:w="80"/>
              <w:right w:type="dxa" w:w="100"/>
            </w:tcMar>
            <w:vAlign w:val="center"/>
          </w:tcPr>
          <w:p>
            <w:pPr>
              <w:jc w:val="left"/>
            </w:pPr>
            <w:r>
              <w:rPr>
                <w:b w:val="false"/>
                <w:bCs w:val="false"/>
                <w:color w:val="222222"/>
                <w:sz w:val="20"/>
                <w:szCs w:val="20"/>
              </w:rPr>
              <w:t xml:space="preserve">Pièce refusée avec motif obligatoire et demande de nouvelle version.</w:t>
            </w:r>
          </w:p>
        </w:tc>
      </w:tr>
      <w:tr>
        <w:tc>
          <w:tcPr>
            <w:tcMar>
              <w:top w:type="dxa" w:w="80"/>
              <w:left w:type="dxa" w:w="100"/>
              <w:bottom w:type="dxa" w:w="80"/>
              <w:right w:type="dxa" w:w="100"/>
            </w:tcMar>
            <w:vAlign w:val="center"/>
          </w:tcPr>
          <w:p>
            <w:pPr>
              <w:jc w:val="left"/>
            </w:pPr>
            <w:r>
              <w:rPr>
                <w:b w:val="false"/>
                <w:bCs w:val="false"/>
                <w:color w:val="222222"/>
                <w:sz w:val="20"/>
                <w:szCs w:val="20"/>
              </w:rPr>
              <w:t xml:space="preserve">Validé</w:t>
            </w:r>
          </w:p>
        </w:tc>
        <w:tc>
          <w:tcPr>
            <w:tcMar>
              <w:top w:type="dxa" w:w="80"/>
              <w:left w:type="dxa" w:w="100"/>
              <w:bottom w:type="dxa" w:w="80"/>
              <w:right w:type="dxa" w:w="100"/>
            </w:tcMar>
            <w:vAlign w:val="center"/>
          </w:tcPr>
          <w:p>
            <w:pPr>
              <w:jc w:val="left"/>
            </w:pPr>
            <w:r>
              <w:rPr>
                <w:b w:val="false"/>
                <w:bCs w:val="false"/>
                <w:color w:val="222222"/>
                <w:sz w:val="20"/>
                <w:szCs w:val="20"/>
              </w:rPr>
              <w:t xml:space="preserve">Pièce contrôlée et acceptée.</w:t>
            </w:r>
          </w:p>
        </w:tc>
      </w:tr>
    </w:tbl>
    <w:p>
      <w:pPr>
        <w:spacing w:after="120"/>
      </w:pPr>
      <w:r>
        <w:t xml:space="preserve">La complétude du dossier est calculée principalement sur les documents obligatoires validés. La validation finale du caractère complet du dossier relève de l'administrateur.</w:t>
      </w:r>
    </w:p>
    <w:p>
      <w:pPr>
        <w:pStyle w:val="Heading1"/>
        <w:pBdr>
          <w:bottom w:val="single" w:color="B08A3E" w:sz="6" w:space="4"/>
        </w:pBdr>
        <w:spacing w:after="200" w:before="400"/>
      </w:pPr>
      <w:r>
        <w:t xml:space="preserve">9. Communication et notifications</w:t>
      </w:r>
    </w:p>
    <w:p>
      <w:pPr>
        <w:pStyle w:val="ListParagraph"/>
        <w:numPr>
          <w:ilvl w:val="0"/>
          <w:numId w:val="2"/>
        </w:numPr>
        <w:spacing w:after="60"/>
      </w:pPr>
      <w:r>
        <w:t xml:space="preserve">Notifications automatiques par email à chaque changement d'étape (convocation entretien, préadmission, admission, etc.) et sur les autres événements du dossier (document manquant ou à corriger, validation, refus, nouveau message, échéance ou rendez-vous).</w:t>
      </w:r>
    </w:p>
    <w:p>
      <w:pPr>
        <w:pStyle w:val="ListParagraph"/>
        <w:numPr>
          <w:ilvl w:val="0"/>
          <w:numId w:val="2"/>
        </w:numPr>
        <w:spacing w:after="60"/>
      </w:pPr>
      <w:r>
        <w:t xml:space="preserve">Messagerie intégrée entre l'étudiant et son agent, avec pièces jointes.</w:t>
      </w:r>
    </w:p>
    <w:p>
      <w:pPr>
        <w:pStyle w:val="ListParagraph"/>
        <w:numPr>
          <w:ilvl w:val="0"/>
          <w:numId w:val="2"/>
        </w:numPr>
        <w:spacing w:after="60"/>
      </w:pPr>
      <w:r>
        <w:t xml:space="preserve">Historisation des échanges et actions liées au dossier.</w:t>
      </w:r>
    </w:p>
    <w:p>
      <w:pPr>
        <w:pStyle w:val="ListParagraph"/>
        <w:numPr>
          <w:ilvl w:val="0"/>
          <w:numId w:val="2"/>
        </w:numPr>
        <w:spacing w:after="60"/>
      </w:pPr>
      <w:r>
        <w:t xml:space="preserve">WhatsApp et SMS exclus du périmètre V1 ; une intégration pourra être envisagée ultérieurement (voir §16, Phase 3).</w:t>
      </w:r>
    </w:p>
    <w:p>
      <w:pPr>
        <w:pStyle w:val="Heading1"/>
        <w:pBdr>
          <w:bottom w:val="single" w:color="B08A3E" w:sz="6" w:space="4"/>
        </w:pBdr>
        <w:spacing w:after="200" w:before="400"/>
      </w:pPr>
      <w:r>
        <w:t xml:space="preserve">10. Paiement et suivi administratif</w:t>
      </w:r>
    </w:p>
    <w:p>
      <w:pPr>
        <w:pBdr>
          <w:left w:val="single" w:color="B08A3E" w:sz="18" w:space="8"/>
        </w:pBdr>
        <w:shd w:fill="FBF3E3" w:val="clear"/>
        <w:spacing w:after="160" w:before="100"/>
      </w:pPr>
      <w:r>
        <w:rPr>
          <w:i/>
          <w:iCs/>
          <w:color w:val="6B5416"/>
          <w:sz w:val="20"/>
          <w:szCs w:val="20"/>
        </w:rPr>
        <w:t xml:space="preserve">Point d'arbitrage majeur : les documents sources ne s'accordent pas sur le paiement en ligne. Le cahier des charges de la plateforme de candidatures prévoit un paiement en ligne opérationnel dès la V1 (passerelle Semoa + dépôt bancaire avec bordereau). La note de cadrage mobilité étudiante exclut explicitement le paiement en ligne du périmètre V1 et ne retient que le paiement hors ligne en agence. Les deux circuits sont décrits ci-dessous ; le client doit trancher lequel constitue le périmètre V1 réel de Campus One avant le chiffrage détaillé.</w:t>
      </w:r>
    </w:p>
    <w:p>
      <w:pPr>
        <w:pStyle w:val="Heading2"/>
        <w:spacing w:after="120" w:before="280"/>
      </w:pPr>
      <w:r>
        <w:t xml:space="preserve">10.1 Paiement hors ligne (statut enregistré manuellement)</w:t>
      </w:r>
    </w:p>
    <w:p>
      <w:pPr>
        <w:spacing w:after="120"/>
      </w:pPr>
      <w:r>
        <w:t xml:space="preserve">L'étudiant règle à l'agence, notamment en espèces, et un collaborateur habilité enregistre le statut du paiement dans le dossier.</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7200"/>
      </w:tblGrid>
      <w:tr>
        <w:tc>
          <w:tcPr>
            <w:tcW w:type="dxa" w:w="2600"/>
            <w:shd w:fill="F2F2F2" w:val="clear"/>
            <w:tcMar>
              <w:top w:type="dxa" w:w="80"/>
              <w:left w:type="dxa" w:w="100"/>
              <w:bottom w:type="dxa" w:w="80"/>
              <w:right w:type="dxa" w:w="100"/>
            </w:tcMar>
            <w:vAlign w:val="center"/>
          </w:tcPr>
          <w:p>
            <w:pPr>
              <w:jc w:val="left"/>
            </w:pPr>
            <w:r>
              <w:rPr>
                <w:b/>
                <w:bCs/>
                <w:color w:val="222222"/>
                <w:sz w:val="20"/>
                <w:szCs w:val="20"/>
              </w:rPr>
              <w:t xml:space="preserve">Statuts prévus</w:t>
            </w:r>
          </w:p>
        </w:tc>
        <w:tc>
          <w:tcPr>
            <w:tcW w:type="dxa" w:w="7200"/>
            <w:tcMar>
              <w:top w:type="dxa" w:w="80"/>
              <w:left w:type="dxa" w:w="100"/>
              <w:bottom w:type="dxa" w:w="80"/>
              <w:right w:type="dxa" w:w="100"/>
            </w:tcMar>
            <w:vAlign w:val="center"/>
          </w:tcPr>
          <w:p>
            <w:pPr>
              <w:jc w:val="left"/>
            </w:pPr>
            <w:r>
              <w:rPr>
                <w:b w:val="false"/>
                <w:bCs w:val="false"/>
                <w:color w:val="222222"/>
                <w:sz w:val="20"/>
                <w:szCs w:val="20"/>
              </w:rPr>
              <w:t xml:space="preserve">Non payé / Paiement partiel / Payé / Exonéré ou exception</w:t>
            </w:r>
          </w:p>
        </w:tc>
      </w:tr>
      <w:tr>
        <w:tc>
          <w:tcPr>
            <w:tcW w:type="dxa" w:w="2600"/>
            <w:shd w:fill="F2F2F2" w:val="clear"/>
            <w:tcMar>
              <w:top w:type="dxa" w:w="80"/>
              <w:left w:type="dxa" w:w="100"/>
              <w:bottom w:type="dxa" w:w="80"/>
              <w:right w:type="dxa" w:w="100"/>
            </w:tcMar>
            <w:vAlign w:val="center"/>
          </w:tcPr>
          <w:p>
            <w:pPr>
              <w:jc w:val="left"/>
            </w:pPr>
            <w:r>
              <w:rPr>
                <w:b/>
                <w:bCs/>
                <w:color w:val="222222"/>
                <w:sz w:val="20"/>
                <w:szCs w:val="20"/>
              </w:rPr>
              <w:t xml:space="preserve">Informations</w:t>
            </w:r>
          </w:p>
        </w:tc>
        <w:tc>
          <w:tcPr>
            <w:tcW w:type="dxa" w:w="7200"/>
            <w:tcMar>
              <w:top w:type="dxa" w:w="80"/>
              <w:left w:type="dxa" w:w="100"/>
              <w:bottom w:type="dxa" w:w="80"/>
              <w:right w:type="dxa" w:w="100"/>
            </w:tcMar>
            <w:vAlign w:val="center"/>
          </w:tcPr>
          <w:p>
            <w:pPr>
              <w:jc w:val="left"/>
            </w:pPr>
            <w:r>
              <w:rPr>
                <w:b w:val="false"/>
                <w:bCs w:val="false"/>
                <w:color w:val="222222"/>
                <w:sz w:val="20"/>
                <w:szCs w:val="20"/>
              </w:rPr>
              <w:t xml:space="preserve">Montant, date, mode, référence de reçu, collaborateur ayant enregistré l'opération</w:t>
            </w:r>
          </w:p>
        </w:tc>
      </w:tr>
      <w:tr>
        <w:tc>
          <w:tcPr>
            <w:tcW w:type="dxa" w:w="2600"/>
            <w:shd w:fill="F2F2F2" w:val="clear"/>
            <w:tcMar>
              <w:top w:type="dxa" w:w="80"/>
              <w:left w:type="dxa" w:w="100"/>
              <w:bottom w:type="dxa" w:w="80"/>
              <w:right w:type="dxa" w:w="100"/>
            </w:tcMar>
            <w:vAlign w:val="center"/>
          </w:tcPr>
          <w:p>
            <w:pPr>
              <w:jc w:val="left"/>
            </w:pPr>
            <w:r>
              <w:rPr>
                <w:b/>
                <w:bCs/>
                <w:color w:val="222222"/>
                <w:sz w:val="20"/>
                <w:szCs w:val="20"/>
              </w:rPr>
              <w:t xml:space="preserve">Justificatif</w:t>
            </w:r>
          </w:p>
        </w:tc>
        <w:tc>
          <w:tcPr>
            <w:tcW w:type="dxa" w:w="7200"/>
            <w:tcMar>
              <w:top w:type="dxa" w:w="80"/>
              <w:left w:type="dxa" w:w="100"/>
              <w:bottom w:type="dxa" w:w="80"/>
              <w:right w:type="dxa" w:w="100"/>
            </w:tcMar>
            <w:vAlign w:val="center"/>
          </w:tcPr>
          <w:p>
            <w:pPr>
              <w:jc w:val="left"/>
            </w:pPr>
            <w:r>
              <w:rPr>
                <w:b w:val="false"/>
                <w:bCs w:val="false"/>
                <w:color w:val="222222"/>
                <w:sz w:val="20"/>
                <w:szCs w:val="20"/>
              </w:rPr>
              <w:t xml:space="preserve">Possibilité de joindre une copie du reçu ou justificatif interne</w:t>
            </w:r>
          </w:p>
        </w:tc>
      </w:tr>
    </w:tbl>
    <w:p>
      <w:pPr>
        <w:pStyle w:val="Heading2"/>
        <w:spacing w:after="120" w:before="280"/>
      </w:pPr>
      <w:r>
        <w:t xml:space="preserve">10.2 Paiement en ligne (option retenue selon arbitrage client)</w:t>
      </w:r>
    </w:p>
    <w:p>
      <w:pPr>
        <w:spacing w:after="120"/>
      </w:pPr>
      <w:r>
        <w:t xml:space="preserve">Le montant des frais de dossier est configurable en back-office (montant global ou différent par formation), sans intervention technique. Deux modalités au choix du candidat :</w:t>
      </w:r>
    </w:p>
    <w:p>
      <w:pPr>
        <w:pStyle w:val="Heading3"/>
        <w:spacing w:after="80" w:before="200"/>
      </w:pPr>
      <w:r>
        <w:t xml:space="preserve">a) Paiement instantané par passerelle Semoa</w:t>
      </w:r>
    </w:p>
    <w:p>
      <w:pPr>
        <w:pStyle w:val="ListParagraph"/>
        <w:numPr>
          <w:ilvl w:val="0"/>
          <w:numId w:val="2"/>
        </w:numPr>
        <w:spacing w:after="60"/>
      </w:pPr>
      <w:r>
        <w:t xml:space="preserve">Le candidat sélectionne « Paiement par carte bancaire / mobile money (Semoa) ».</w:t>
      </w:r>
    </w:p>
    <w:p>
      <w:pPr>
        <w:pStyle w:val="ListParagraph"/>
        <w:numPr>
          <w:ilvl w:val="0"/>
          <w:numId w:val="2"/>
        </w:numPr>
        <w:spacing w:after="60"/>
      </w:pPr>
      <w:r>
        <w:t xml:space="preserve">Redirection vers l'interface de paiement sécurisée Semoa (ou module intégré selon l'offre technique retenue) : carte bancaire internationale ou mobile money.</w:t>
      </w:r>
    </w:p>
    <w:p>
      <w:pPr>
        <w:pStyle w:val="ListParagraph"/>
        <w:numPr>
          <w:ilvl w:val="0"/>
          <w:numId w:val="2"/>
        </w:numPr>
        <w:spacing w:after="60"/>
      </w:pPr>
      <w:r>
        <w:t xml:space="preserve">Une fois le paiement effectué, Semoa notifie automatiquement la plateforme (via webhook) et redirige le candidat vers son espace.</w:t>
      </w:r>
    </w:p>
    <w:p>
      <w:pPr>
        <w:pStyle w:val="ListParagraph"/>
        <w:numPr>
          <w:ilvl w:val="0"/>
          <w:numId w:val="2"/>
        </w:numPr>
        <w:spacing w:after="60"/>
      </w:pPr>
      <w:r>
        <w:t xml:space="preserve">Validation automatique dès réception de la confirmation Semoa, sans intervention du gestionnaire ; le dossier passe directement au statut « Paiement validé ».</w:t>
      </w:r>
    </w:p>
    <w:p>
      <w:pPr>
        <w:pStyle w:val="ListParagraph"/>
        <w:numPr>
          <w:ilvl w:val="0"/>
          <w:numId w:val="2"/>
        </w:numPr>
        <w:spacing w:after="60"/>
      </w:pPr>
      <w:r>
        <w:t xml:space="preserve">Un reçu officiel est généré et envoyé automatiquement par email, et le dossier avance immédiatement à l'étape suivante.</w:t>
      </w:r>
    </w:p>
    <w:p>
      <w:pPr>
        <w:pStyle w:val="Heading3"/>
        <w:spacing w:after="80" w:before="200"/>
      </w:pPr>
      <w:r>
        <w:t xml:space="preserve">b) Paiement par dépôt bancaire (validation par bordereau)</w:t>
      </w:r>
    </w:p>
    <w:p>
      <w:pPr>
        <w:pStyle w:val="ListParagraph"/>
        <w:numPr>
          <w:ilvl w:val="0"/>
          <w:numId w:val="2"/>
        </w:numPr>
        <w:spacing w:after="60"/>
      </w:pPr>
      <w:r>
        <w:t xml:space="preserve">Le candidat sélectionne « Paiement par dépôt bancaire ».</w:t>
      </w:r>
    </w:p>
    <w:p>
      <w:pPr>
        <w:pStyle w:val="ListParagraph"/>
        <w:numPr>
          <w:ilvl w:val="0"/>
          <w:numId w:val="2"/>
        </w:numPr>
        <w:spacing w:after="60"/>
      </w:pPr>
      <w:r>
        <w:t xml:space="preserve">La plateforme affiche le RIB à utiliser ainsi qu'une référence unique (liée au dossier) à indiquer sur le bordereau.</w:t>
      </w:r>
    </w:p>
    <w:p>
      <w:pPr>
        <w:pStyle w:val="ListParagraph"/>
        <w:numPr>
          <w:ilvl w:val="0"/>
          <w:numId w:val="2"/>
        </w:numPr>
        <w:spacing w:after="60"/>
      </w:pPr>
      <w:r>
        <w:t xml:space="preserve">Le candidat effectue le dépôt en agence, puis téléverse une photo ou un scan du bordereau (montant, date, référence). Le dossier passe automatiquement au statut « Paiement en attente de validation », et un email confirme la bonne réception du bordereau.</w:t>
      </w:r>
    </w:p>
    <w:p>
      <w:pPr>
        <w:pStyle w:val="ListParagraph"/>
        <w:numPr>
          <w:ilvl w:val="0"/>
          <w:numId w:val="2"/>
        </w:numPr>
        <w:spacing w:after="60"/>
      </w:pPr>
      <w:r>
        <w:t xml:space="preserve">Le gestionnaire consulte le bordereau, le rapproche du relevé bancaire réel (montant, référence, date), puis valide (reçu généré automatiquement, dossier avancé à l'étape suivante) ou rejette (remarque explicative via la page « Remarques », email habituel au candidat).</w:t>
      </w:r>
    </w:p>
    <w:p>
      <w:pPr>
        <w:spacing w:after="120"/>
      </w:pPr>
      <w:r>
        <w:t xml:space="preserve">Le paiement par Semoa se règle en quelques instants sans intervention humaine, tandis que le dépôt bancaire reste disponible pour les candidats sans carte internationale ni mobile money compatible, au prix d'un délai de traitement le temps de la vérification. Les deux circuits réutilisent les briques déjà prévues dans la plateforme — statut de dossier, génération de reçu et page « Remarques » — ce qui évite de développer un système de validation séparé.</w:t>
      </w:r>
    </w:p>
    <w:p>
      <w:pPr>
        <w:pStyle w:val="Heading2"/>
        <w:spacing w:after="120" w:before="280"/>
      </w:pPr>
      <w:r>
        <w:t xml:space="preserve">10.3 Suivi des paiements (back-office)</w:t>
      </w:r>
    </w:p>
    <w:p>
      <w:pPr>
        <w:pStyle w:val="ListParagraph"/>
        <w:numPr>
          <w:ilvl w:val="0"/>
          <w:numId w:val="2"/>
        </w:numPr>
        <w:spacing w:after="60"/>
      </w:pPr>
      <w:r>
        <w:t xml:space="preserve">Consultation des paiements reçus par candidat, accès aux reçus générés, suivi des dossiers en attente de paiement.</w:t>
      </w:r>
    </w:p>
    <w:p>
      <w:pPr>
        <w:pStyle w:val="ListParagraph"/>
        <w:numPr>
          <w:ilvl w:val="0"/>
          <w:numId w:val="2"/>
        </w:numPr>
        <w:spacing w:after="60"/>
      </w:pPr>
      <w:r>
        <w:t xml:space="preserve">Validation des bordereaux de dépôt bancaire, le cas échéant.</w:t>
      </w:r>
    </w:p>
    <w:p>
      <w:pPr>
        <w:pStyle w:val="Heading1"/>
        <w:pBdr>
          <w:bottom w:val="single" w:color="B08A3E" w:sz="6" w:space="4"/>
        </w:pBdr>
        <w:spacing w:after="200" w:before="400"/>
      </w:pPr>
      <w:r>
        <w:t xml:space="preserve">11. Sécurité, traçabilité et protection des données</w:t>
      </w:r>
    </w:p>
    <w:p>
      <w:pPr>
        <w:spacing w:after="120"/>
      </w:pPr>
      <w:r>
        <w:t xml:space="preserve">Compte tenu de la nature des documents traités (identité, parcours académique, justificatifs administratifs et potentiellement financiers), la sécurité doit être intégrée dès la conception.</w:t>
      </w:r>
    </w:p>
    <w:p>
      <w:pPr>
        <w:pStyle w:val="Heading2"/>
        <w:spacing w:after="120" w:before="280"/>
      </w:pPr>
      <w:r>
        <w:t xml:space="preserve">11.1 Sécurité applicative</w:t>
      </w:r>
    </w:p>
    <w:p>
      <w:pPr>
        <w:pStyle w:val="ListParagraph"/>
        <w:numPr>
          <w:ilvl w:val="0"/>
          <w:numId w:val="2"/>
        </w:numPr>
        <w:spacing w:after="60"/>
      </w:pPr>
      <w:r>
        <w:t xml:space="preserve">Contrôle d'accès par rôles et permissions (RBAC).</w:t>
      </w:r>
    </w:p>
    <w:p>
      <w:pPr>
        <w:pStyle w:val="ListParagraph"/>
        <w:numPr>
          <w:ilvl w:val="0"/>
          <w:numId w:val="2"/>
        </w:numPr>
        <w:spacing w:after="60"/>
      </w:pPr>
      <w:r>
        <w:t xml:space="preserve">MFA obligatoire au minimum pour les agents, superviseurs et administrateurs ; 2FA par email pour les candidats.</w:t>
      </w:r>
    </w:p>
    <w:p>
      <w:pPr>
        <w:pStyle w:val="ListParagraph"/>
        <w:numPr>
          <w:ilvl w:val="0"/>
          <w:numId w:val="2"/>
        </w:numPr>
        <w:spacing w:after="60"/>
      </w:pPr>
      <w:r>
        <w:t xml:space="preserve">Authentification étudiant par e-mail et/ou téléphone, avec mécanisme sécurisé de réinitialisation du mot de passe.</w:t>
      </w:r>
    </w:p>
    <w:p>
      <w:pPr>
        <w:pStyle w:val="ListParagraph"/>
        <w:numPr>
          <w:ilvl w:val="0"/>
          <w:numId w:val="2"/>
        </w:numPr>
        <w:spacing w:after="60"/>
      </w:pPr>
      <w:r>
        <w:t xml:space="preserve">Chiffrement des communications via TLS et chiffrement adapté des données au repos.</w:t>
      </w:r>
    </w:p>
    <w:p>
      <w:pPr>
        <w:pStyle w:val="ListParagraph"/>
        <w:numPr>
          <w:ilvl w:val="0"/>
          <w:numId w:val="2"/>
        </w:numPr>
        <w:spacing w:after="60"/>
      </w:pPr>
      <w:r>
        <w:t xml:space="preserve">Stockage documentaire privé, sans URL publique permanente.</w:t>
      </w:r>
    </w:p>
    <w:p>
      <w:pPr>
        <w:pStyle w:val="ListParagraph"/>
        <w:numPr>
          <w:ilvl w:val="0"/>
          <w:numId w:val="2"/>
        </w:numPr>
        <w:spacing w:after="60"/>
      </w:pPr>
      <w:r>
        <w:t xml:space="preserve">Contrôles d'upload : extension, type MIME, taille, nommage serveur et analyse anti-malware.</w:t>
      </w:r>
    </w:p>
    <w:p>
      <w:pPr>
        <w:pStyle w:val="ListParagraph"/>
        <w:numPr>
          <w:ilvl w:val="0"/>
          <w:numId w:val="2"/>
        </w:numPr>
        <w:spacing w:after="60"/>
      </w:pPr>
      <w:r>
        <w:t xml:space="preserve">Journalisation des connexions, consultations, téléchargements, dépôts, suppressions, validations et modifications sensibles.</w:t>
      </w:r>
    </w:p>
    <w:p>
      <w:pPr>
        <w:pStyle w:val="ListParagraph"/>
        <w:numPr>
          <w:ilvl w:val="0"/>
          <w:numId w:val="2"/>
        </w:numPr>
        <w:spacing w:after="60"/>
      </w:pPr>
      <w:r>
        <w:t xml:space="preserve">Sauvegardes automatiques, restauration, gestion des secrets et séparation des environnements.</w:t>
      </w:r>
    </w:p>
    <w:p>
      <w:pPr>
        <w:pStyle w:val="ListParagraph"/>
        <w:numPr>
          <w:ilvl w:val="0"/>
          <w:numId w:val="2"/>
        </w:numPr>
        <w:spacing w:after="60"/>
      </w:pPr>
      <w:r>
        <w:t xml:space="preserve">Expiration des sessions internes après une durée d'inactivité courte, à définir lors de la politique de sécurité.</w:t>
      </w:r>
    </w:p>
    <w:p>
      <w:pPr>
        <w:pStyle w:val="Heading2"/>
        <w:spacing w:after="120" w:before="280"/>
      </w:pPr>
      <w:r>
        <w:t xml:space="preserve">11.2 Protection des données personnelles (RGPD)</w:t>
      </w:r>
    </w:p>
    <w:p>
      <w:pPr>
        <w:pStyle w:val="ListParagraph"/>
        <w:numPr>
          <w:ilvl w:val="0"/>
          <w:numId w:val="2"/>
        </w:numPr>
        <w:spacing w:after="60"/>
      </w:pPr>
      <w:r>
        <w:t xml:space="preserve">Collecte limitée aux données nécessaires aux finalités définies par Campus One.</w:t>
      </w:r>
    </w:p>
    <w:p>
      <w:pPr>
        <w:pStyle w:val="ListParagraph"/>
        <w:numPr>
          <w:ilvl w:val="0"/>
          <w:numId w:val="2"/>
        </w:numPr>
        <w:spacing w:after="60"/>
      </w:pPr>
      <w:r>
        <w:t xml:space="preserve">Information claire des étudiants sur les traitements réalisés.</w:t>
      </w:r>
    </w:p>
    <w:p>
      <w:pPr>
        <w:pStyle w:val="ListParagraph"/>
        <w:numPr>
          <w:ilvl w:val="0"/>
          <w:numId w:val="2"/>
        </w:numPr>
        <w:spacing w:after="60"/>
      </w:pPr>
      <w:r>
        <w:t xml:space="preserve">Mécanismes permettant l'exercice des droits applicables : accès, rectification, suppression ou autres droits selon le cadre juridique.</w:t>
      </w:r>
    </w:p>
    <w:p>
      <w:pPr>
        <w:pStyle w:val="ListParagraph"/>
        <w:numPr>
          <w:ilvl w:val="0"/>
          <w:numId w:val="2"/>
        </w:numPr>
        <w:spacing w:after="60"/>
      </w:pPr>
      <w:r>
        <w:t xml:space="preserve">Politique de confidentialité et mentions légales à préparer avant la mise en production.</w:t>
      </w:r>
    </w:p>
    <w:p>
      <w:pPr>
        <w:pStyle w:val="ListParagraph"/>
        <w:numPr>
          <w:ilvl w:val="0"/>
          <w:numId w:val="2"/>
        </w:numPr>
        <w:spacing w:after="60"/>
      </w:pPr>
      <w:r>
        <w:t xml:space="preserve">Hébergement cible dans l'Union européenne pour les données de la brique gestion des dossiers.</w:t>
      </w:r>
    </w:p>
    <w:p>
      <w:pPr>
        <w:pStyle w:val="ListParagraph"/>
        <w:numPr>
          <w:ilvl w:val="0"/>
          <w:numId w:val="2"/>
        </w:numPr>
        <w:spacing w:after="60"/>
      </w:pPr>
      <w:r>
        <w:t xml:space="preserve">Politique de conservation : à trancher entre archivage complet (aucune donnée candidat supprimée après clôture) et une politique de conservation à durée déterminée (ex. trois ans, avec modalités de purge/archivage à confirmer juridiquement) — voir point d'arbitrage ci-dessous.</w:t>
      </w:r>
    </w:p>
    <w:p>
      <w:pPr>
        <w:pStyle w:val="ListParagraph"/>
        <w:numPr>
          <w:ilvl w:val="0"/>
          <w:numId w:val="2"/>
        </w:numPr>
        <w:spacing w:after="60"/>
      </w:pPr>
      <w:r>
        <w:t xml:space="preserve">Traçabilité des traitements et des accès ; encadrement des prestataires techniques et sous-traitants manipulant les données.</w:t>
      </w:r>
    </w:p>
    <w:p>
      <w:pPr>
        <w:pBdr>
          <w:left w:val="single" w:color="B08A3E" w:sz="18" w:space="8"/>
        </w:pBdr>
        <w:shd w:fill="FBF3E3" w:val="clear"/>
        <w:spacing w:after="160" w:before="100"/>
      </w:pPr>
      <w:r>
        <w:rPr>
          <w:i/>
          <w:iCs/>
          <w:color w:val="6B5416"/>
          <w:sz w:val="20"/>
          <w:szCs w:val="20"/>
        </w:rPr>
        <w:t xml:space="preserve">Point d'arbitrage : la politique de conservation diffère selon les sources (archivage complet illimité vs conservation cible de trois ans avec purge). Le sujet relève d'une qualification juridique dédiée et doit être tranché avec le client avant la mise en production, dans le cadre du dossier de conformité RGPD.</w:t>
      </w:r>
    </w:p>
    <w:p>
      <w:pPr>
        <w:pStyle w:val="ListParagraph"/>
        <w:numPr>
          <w:ilvl w:val="0"/>
          <w:numId w:val="2"/>
        </w:numPr>
        <w:spacing w:after="60"/>
      </w:pPr>
      <w:r>
        <w:t xml:space="preserve">Gestion des cookies, optimisation SEO, outil de mesure d'audience, protection anti-spam et HTTPS pour la partie site vitrine.</w:t>
      </w:r>
    </w:p>
    <w:p>
      <w:pPr>
        <w:pStyle w:val="Heading1"/>
        <w:pBdr>
          <w:bottom w:val="single" w:color="B08A3E" w:sz="6" w:space="4"/>
        </w:pBdr>
        <w:spacing w:after="200" w:before="400"/>
      </w:pPr>
      <w:r>
        <w:t xml:space="preserve">12. Architecture technique</w:t>
      </w:r>
    </w:p>
    <w:p>
      <w:pPr>
        <w:pStyle w:val="Heading2"/>
        <w:spacing w:after="120" w:before="280"/>
      </w:pPr>
      <w:r>
        <w:t xml:space="preserve">12.1 Architecture de principe</w:t>
      </w:r>
    </w:p>
    <w:p>
      <w:pPr>
        <w:pBdr>
          <w:left w:val="single" w:color="B08A3E" w:sz="18" w:space="8"/>
        </w:pBdr>
        <w:shd w:fill="FBF3E3" w:val="clear"/>
        <w:spacing w:after="160" w:before="100"/>
      </w:pPr>
      <w:r>
        <w:rPr>
          <w:i/>
          <w:iCs/>
          <w:color w:val="6B5416"/>
          <w:sz w:val="20"/>
          <w:szCs w:val="20"/>
        </w:rPr>
        <w:t xml:space="preserve">Architecture cible : Application web responsive / PWA → API Backend sécurisée → base de données pour les données métier et métadonnées → stockage objet privé pour les documents PDF → services de notification → journal d'audit → sauvegardes.</w:t>
      </w:r>
    </w:p>
    <w:p>
      <w:pPr>
        <w:spacing w:after="120"/>
      </w:pPr>
      <w:r>
        <w:t xml:space="preserve">Toutes les opérations métier sont contrôlées et référencées en base de données. Les fichiers PDF eux-mêmes sont stockés dans un stockage objet privé, tandis que la base de données conserve leurs métadonnées, versions, statuts, empreintes, propriétaires et historiques.</w:t>
      </w:r>
    </w:p>
    <w:p>
      <w:pPr>
        <w:pStyle w:val="Heading2"/>
        <w:spacing w:after="120" w:before="280"/>
      </w:pPr>
      <w:r>
        <w:t xml:space="preserve">12.2 Contraintes techniques retenues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000"/>
        <w:gridCol w:w="6800"/>
      </w:tblGrid>
      <w:tr>
        <w:tc>
          <w:tcPr>
            <w:tcW w:type="dxa" w:w="3000"/>
            <w:shd w:fill="F2F2F2" w:val="clear"/>
            <w:tcMar>
              <w:top w:type="dxa" w:w="80"/>
              <w:left w:type="dxa" w:w="100"/>
              <w:bottom w:type="dxa" w:w="80"/>
              <w:right w:type="dxa" w:w="100"/>
            </w:tcMar>
            <w:vAlign w:val="center"/>
          </w:tcPr>
          <w:p>
            <w:pPr>
              <w:jc w:val="left"/>
            </w:pPr>
            <w:r>
              <w:rPr>
                <w:b/>
                <w:bCs/>
                <w:color w:val="222222"/>
                <w:sz w:val="20"/>
                <w:szCs w:val="20"/>
              </w:rPr>
              <w:t xml:space="preserve">API</w:t>
            </w:r>
          </w:p>
        </w:tc>
        <w:tc>
          <w:tcPr>
            <w:tcW w:type="dxa" w:w="6800"/>
            <w:tcMar>
              <w:top w:type="dxa" w:w="80"/>
              <w:left w:type="dxa" w:w="100"/>
              <w:bottom w:type="dxa" w:w="80"/>
              <w:right w:type="dxa" w:w="100"/>
            </w:tcMar>
            <w:vAlign w:val="center"/>
          </w:tcPr>
          <w:p>
            <w:pPr>
              <w:jc w:val="left"/>
            </w:pPr>
            <w:r>
              <w:rPr>
                <w:b w:val="false"/>
                <w:bCs w:val="false"/>
                <w:color w:val="222222"/>
                <w:sz w:val="20"/>
                <w:szCs w:val="20"/>
              </w:rPr>
              <w:t xml:space="preserve">Node.js</w:t>
            </w:r>
          </w:p>
        </w:tc>
      </w:tr>
      <w:tr>
        <w:tc>
          <w:tcPr>
            <w:tcW w:type="dxa" w:w="3000"/>
            <w:shd w:fill="F2F2F2" w:val="clear"/>
            <w:tcMar>
              <w:top w:type="dxa" w:w="80"/>
              <w:left w:type="dxa" w:w="100"/>
              <w:bottom w:type="dxa" w:w="80"/>
              <w:right w:type="dxa" w:w="100"/>
            </w:tcMar>
            <w:vAlign w:val="center"/>
          </w:tcPr>
          <w:p>
            <w:pPr>
              <w:jc w:val="left"/>
            </w:pPr>
            <w:r>
              <w:rPr>
                <w:b/>
                <w:bCs/>
                <w:color w:val="222222"/>
                <w:sz w:val="20"/>
                <w:szCs w:val="20"/>
              </w:rPr>
              <w:t xml:space="preserve">Back-office</w:t>
            </w:r>
          </w:p>
        </w:tc>
        <w:tc>
          <w:tcPr>
            <w:tcW w:type="dxa" w:w="6800"/>
            <w:tcMar>
              <w:top w:type="dxa" w:w="80"/>
              <w:left w:type="dxa" w:w="100"/>
              <w:bottom w:type="dxa" w:w="80"/>
              <w:right w:type="dxa" w:w="100"/>
            </w:tcMar>
            <w:vAlign w:val="center"/>
          </w:tcPr>
          <w:p>
            <w:pPr>
              <w:jc w:val="left"/>
            </w:pPr>
            <w:r>
              <w:rPr>
                <w:b w:val="false"/>
                <w:bCs w:val="false"/>
                <w:color w:val="222222"/>
                <w:sz w:val="20"/>
                <w:szCs w:val="20"/>
              </w:rPr>
              <w:t xml:space="preserve">Next.js</w:t>
            </w:r>
          </w:p>
        </w:tc>
      </w:tr>
      <w:tr>
        <w:tc>
          <w:tcPr>
            <w:tcW w:type="dxa" w:w="3000"/>
            <w:shd w:fill="F2F2F2" w:val="clear"/>
            <w:tcMar>
              <w:top w:type="dxa" w:w="80"/>
              <w:left w:type="dxa" w:w="100"/>
              <w:bottom w:type="dxa" w:w="80"/>
              <w:right w:type="dxa" w:w="100"/>
            </w:tcMar>
            <w:vAlign w:val="center"/>
          </w:tcPr>
          <w:p>
            <w:pPr>
              <w:jc w:val="left"/>
            </w:pPr>
            <w:r>
              <w:rPr>
                <w:b/>
                <w:bCs/>
                <w:color w:val="222222"/>
                <w:sz w:val="20"/>
                <w:szCs w:val="20"/>
              </w:rPr>
              <w:t xml:space="preserve">Espace candidat</w:t>
            </w:r>
          </w:p>
        </w:tc>
        <w:tc>
          <w:tcPr>
            <w:tcW w:type="dxa" w:w="6800"/>
            <w:tcMar>
              <w:top w:type="dxa" w:w="80"/>
              <w:left w:type="dxa" w:w="100"/>
              <w:bottom w:type="dxa" w:w="80"/>
              <w:right w:type="dxa" w:w="100"/>
            </w:tcMar>
            <w:vAlign w:val="center"/>
          </w:tcPr>
          <w:p>
            <w:pPr>
              <w:jc w:val="left"/>
            </w:pPr>
            <w:r>
              <w:rPr>
                <w:b w:val="false"/>
                <w:bCs w:val="false"/>
                <w:color w:val="222222"/>
                <w:sz w:val="20"/>
                <w:szCs w:val="20"/>
              </w:rPr>
              <w:t xml:space="preserve">Next.js</w:t>
            </w:r>
          </w:p>
        </w:tc>
      </w:tr>
      <w:tr>
        <w:tc>
          <w:tcPr>
            <w:tcW w:type="dxa" w:w="3000"/>
            <w:shd w:fill="F2F2F2" w:val="clear"/>
            <w:tcMar>
              <w:top w:type="dxa" w:w="80"/>
              <w:left w:type="dxa" w:w="100"/>
              <w:bottom w:type="dxa" w:w="80"/>
              <w:right w:type="dxa" w:w="100"/>
            </w:tcMar>
            <w:vAlign w:val="center"/>
          </w:tcPr>
          <w:p>
            <w:pPr>
              <w:jc w:val="left"/>
            </w:pPr>
            <w:r>
              <w:rPr>
                <w:b/>
                <w:bCs/>
                <w:color w:val="222222"/>
                <w:sz w:val="20"/>
                <w:szCs w:val="20"/>
              </w:rPr>
              <w:t xml:space="preserve">Base de données</w:t>
            </w:r>
          </w:p>
        </w:tc>
        <w:tc>
          <w:tcPr>
            <w:tcW w:type="dxa" w:w="6800"/>
            <w:tcMar>
              <w:top w:type="dxa" w:w="80"/>
              <w:left w:type="dxa" w:w="100"/>
              <w:bottom w:type="dxa" w:w="80"/>
              <w:right w:type="dxa" w:w="100"/>
            </w:tcMar>
            <w:vAlign w:val="center"/>
          </w:tcPr>
          <w:p>
            <w:pPr>
              <w:jc w:val="left"/>
            </w:pPr>
            <w:r>
              <w:rPr>
                <w:b w:val="false"/>
                <w:bCs w:val="false"/>
                <w:color w:val="222222"/>
                <w:sz w:val="20"/>
                <w:szCs w:val="20"/>
              </w:rPr>
              <w:t xml:space="preserve">PostgreSQL (données métier et métadonnées)</w:t>
            </w:r>
          </w:p>
        </w:tc>
      </w:tr>
      <w:tr>
        <w:tc>
          <w:tcPr>
            <w:tcW w:type="dxa" w:w="3000"/>
            <w:shd w:fill="F2F2F2" w:val="clear"/>
            <w:tcMar>
              <w:top w:type="dxa" w:w="80"/>
              <w:left w:type="dxa" w:w="100"/>
              <w:bottom w:type="dxa" w:w="80"/>
              <w:right w:type="dxa" w:w="100"/>
            </w:tcMar>
            <w:vAlign w:val="center"/>
          </w:tcPr>
          <w:p>
            <w:pPr>
              <w:jc w:val="left"/>
            </w:pPr>
            <w:r>
              <w:rPr>
                <w:b/>
                <w:bCs/>
                <w:color w:val="222222"/>
                <w:sz w:val="20"/>
                <w:szCs w:val="20"/>
              </w:rPr>
              <w:t xml:space="preserve">Stockage documentaire</w:t>
            </w:r>
          </w:p>
        </w:tc>
        <w:tc>
          <w:tcPr>
            <w:tcW w:type="dxa" w:w="6800"/>
            <w:tcMar>
              <w:top w:type="dxa" w:w="80"/>
              <w:left w:type="dxa" w:w="100"/>
              <w:bottom w:type="dxa" w:w="80"/>
              <w:right w:type="dxa" w:w="100"/>
            </w:tcMar>
            <w:vAlign w:val="center"/>
          </w:tcPr>
          <w:p>
            <w:pPr>
              <w:jc w:val="left"/>
            </w:pPr>
            <w:r>
              <w:rPr>
                <w:b w:val="false"/>
                <w:bCs w:val="false"/>
                <w:color w:val="222222"/>
                <w:sz w:val="20"/>
                <w:szCs w:val="20"/>
              </w:rPr>
              <w:t xml:space="preserve">Object Storage privé pour les fichiers PDF</w:t>
            </w:r>
          </w:p>
        </w:tc>
      </w:tr>
      <w:tr>
        <w:tc>
          <w:tcPr>
            <w:tcW w:type="dxa" w:w="3000"/>
            <w:shd w:fill="F2F2F2" w:val="clear"/>
            <w:tcMar>
              <w:top w:type="dxa" w:w="80"/>
              <w:left w:type="dxa" w:w="100"/>
              <w:bottom w:type="dxa" w:w="80"/>
              <w:right w:type="dxa" w:w="100"/>
            </w:tcMar>
            <w:vAlign w:val="center"/>
          </w:tcPr>
          <w:p>
            <w:pPr>
              <w:jc w:val="left"/>
            </w:pPr>
            <w:r>
              <w:rPr>
                <w:b/>
                <w:bCs/>
                <w:color w:val="222222"/>
                <w:sz w:val="20"/>
                <w:szCs w:val="20"/>
              </w:rPr>
              <w:t xml:space="preserve">Format des documents</w:t>
            </w:r>
          </w:p>
        </w:tc>
        <w:tc>
          <w:tcPr>
            <w:tcW w:type="dxa" w:w="6800"/>
            <w:tcMar>
              <w:top w:type="dxa" w:w="80"/>
              <w:left w:type="dxa" w:w="100"/>
              <w:bottom w:type="dxa" w:w="80"/>
              <w:right w:type="dxa" w:w="100"/>
            </w:tcMar>
            <w:vAlign w:val="center"/>
          </w:tcPr>
          <w:p>
            <w:pPr>
              <w:jc w:val="left"/>
            </w:pPr>
            <w:r>
              <w:rPr>
                <w:b w:val="false"/>
                <w:bCs w:val="false"/>
                <w:color w:val="222222"/>
                <w:sz w:val="20"/>
                <w:szCs w:val="20"/>
              </w:rPr>
              <w:t xml:space="preserve">PDF uniquement</w:t>
            </w:r>
          </w:p>
        </w:tc>
      </w:tr>
      <w:tr>
        <w:tc>
          <w:tcPr>
            <w:tcW w:type="dxa" w:w="3000"/>
            <w:shd w:fill="F2F2F2" w:val="clear"/>
            <w:tcMar>
              <w:top w:type="dxa" w:w="80"/>
              <w:left w:type="dxa" w:w="100"/>
              <w:bottom w:type="dxa" w:w="80"/>
              <w:right w:type="dxa" w:w="100"/>
            </w:tcMar>
            <w:vAlign w:val="center"/>
          </w:tcPr>
          <w:p>
            <w:pPr>
              <w:jc w:val="left"/>
            </w:pPr>
            <w:r>
              <w:rPr>
                <w:b/>
                <w:bCs/>
                <w:color w:val="222222"/>
                <w:sz w:val="20"/>
                <w:szCs w:val="20"/>
              </w:rPr>
              <w:t xml:space="preserve">Taille maximale par document</w:t>
            </w:r>
          </w:p>
        </w:tc>
        <w:tc>
          <w:tcPr>
            <w:tcW w:type="dxa" w:w="6800"/>
            <w:tcMar>
              <w:top w:type="dxa" w:w="80"/>
              <w:left w:type="dxa" w:w="100"/>
              <w:bottom w:type="dxa" w:w="80"/>
              <w:right w:type="dxa" w:w="100"/>
            </w:tcMar>
            <w:vAlign w:val="center"/>
          </w:tcPr>
          <w:p>
            <w:pPr>
              <w:jc w:val="left"/>
            </w:pPr>
            <w:r>
              <w:rPr>
                <w:b w:val="false"/>
                <w:bCs w:val="false"/>
                <w:color w:val="222222"/>
                <w:sz w:val="20"/>
                <w:szCs w:val="20"/>
              </w:rPr>
              <w:t xml:space="preserve">10 à 20 Mo selon le type de document (à harmoniser)</w:t>
            </w:r>
          </w:p>
        </w:tc>
      </w:tr>
      <w:tr>
        <w:tc>
          <w:tcPr>
            <w:tcW w:type="dxa" w:w="3000"/>
            <w:shd w:fill="F2F2F2" w:val="clear"/>
            <w:tcMar>
              <w:top w:type="dxa" w:w="80"/>
              <w:left w:type="dxa" w:w="100"/>
              <w:bottom w:type="dxa" w:w="80"/>
              <w:right w:type="dxa" w:w="100"/>
            </w:tcMar>
            <w:vAlign w:val="center"/>
          </w:tcPr>
          <w:p>
            <w:pPr>
              <w:jc w:val="left"/>
            </w:pPr>
            <w:r>
              <w:rPr>
                <w:b/>
                <w:bCs/>
                <w:color w:val="222222"/>
                <w:sz w:val="20"/>
                <w:szCs w:val="20"/>
              </w:rPr>
              <w:t xml:space="preserve">Volume cible</w:t>
            </w:r>
          </w:p>
        </w:tc>
        <w:tc>
          <w:tcPr>
            <w:tcW w:type="dxa" w:w="6800"/>
            <w:tcMar>
              <w:top w:type="dxa" w:w="80"/>
              <w:left w:type="dxa" w:w="100"/>
              <w:bottom w:type="dxa" w:w="80"/>
              <w:right w:type="dxa" w:w="100"/>
            </w:tcMar>
            <w:vAlign w:val="center"/>
          </w:tcPr>
          <w:p>
            <w:pPr>
              <w:jc w:val="left"/>
            </w:pPr>
            <w:r>
              <w:rPr>
                <w:b w:val="false"/>
                <w:bCs w:val="false"/>
                <w:color w:val="222222"/>
                <w:sz w:val="20"/>
                <w:szCs w:val="20"/>
              </w:rPr>
              <w:t xml:space="preserve">500 à 2 000 candidatures</w:t>
            </w:r>
          </w:p>
        </w:tc>
      </w:tr>
      <w:tr>
        <w:tc>
          <w:tcPr>
            <w:tcW w:type="dxa" w:w="3000"/>
            <w:shd w:fill="F2F2F2" w:val="clear"/>
            <w:tcMar>
              <w:top w:type="dxa" w:w="80"/>
              <w:left w:type="dxa" w:w="100"/>
              <w:bottom w:type="dxa" w:w="80"/>
              <w:right w:type="dxa" w:w="100"/>
            </w:tcMar>
            <w:vAlign w:val="center"/>
          </w:tcPr>
          <w:p>
            <w:pPr>
              <w:jc w:val="left"/>
            </w:pPr>
            <w:r>
              <w:rPr>
                <w:b/>
                <w:bCs/>
                <w:color w:val="222222"/>
                <w:sz w:val="20"/>
                <w:szCs w:val="20"/>
              </w:rPr>
              <w:t xml:space="preserve">Authentification</w:t>
            </w:r>
          </w:p>
        </w:tc>
        <w:tc>
          <w:tcPr>
            <w:tcW w:type="dxa" w:w="6800"/>
            <w:tcMar>
              <w:top w:type="dxa" w:w="80"/>
              <w:left w:type="dxa" w:w="100"/>
              <w:bottom w:type="dxa" w:w="80"/>
              <w:right w:type="dxa" w:w="100"/>
            </w:tcMar>
            <w:vAlign w:val="center"/>
          </w:tcPr>
          <w:p>
            <w:pPr>
              <w:jc w:val="left"/>
            </w:pPr>
            <w:r>
              <w:rPr>
                <w:b w:val="false"/>
                <w:bCs w:val="false"/>
                <w:color w:val="222222"/>
                <w:sz w:val="20"/>
                <w:szCs w:val="20"/>
              </w:rPr>
              <w:t xml:space="preserve">Email + mot de passe, 2FA/MFA par code email</w:t>
            </w:r>
          </w:p>
        </w:tc>
      </w:tr>
      <w:tr>
        <w:tc>
          <w:tcPr>
            <w:tcW w:type="dxa" w:w="3000"/>
            <w:shd w:fill="F2F2F2" w:val="clear"/>
            <w:tcMar>
              <w:top w:type="dxa" w:w="80"/>
              <w:left w:type="dxa" w:w="100"/>
              <w:bottom w:type="dxa" w:w="80"/>
              <w:right w:type="dxa" w:w="100"/>
            </w:tcMar>
            <w:vAlign w:val="center"/>
          </w:tcPr>
          <w:p>
            <w:pPr>
              <w:jc w:val="left"/>
            </w:pPr>
            <w:r>
              <w:rPr>
                <w:b/>
                <w:bCs/>
                <w:color w:val="222222"/>
                <w:sz w:val="20"/>
                <w:szCs w:val="20"/>
              </w:rPr>
              <w:t xml:space="preserve">Hébergement</w:t>
            </w:r>
          </w:p>
        </w:tc>
        <w:tc>
          <w:tcPr>
            <w:tcW w:type="dxa" w:w="6800"/>
            <w:tcMar>
              <w:top w:type="dxa" w:w="80"/>
              <w:left w:type="dxa" w:w="100"/>
              <w:bottom w:type="dxa" w:w="80"/>
              <w:right w:type="dxa" w:w="100"/>
            </w:tcMar>
            <w:vAlign w:val="center"/>
          </w:tcPr>
          <w:p>
            <w:pPr>
              <w:jc w:val="left"/>
            </w:pPr>
            <w:r>
              <w:rPr>
                <w:b w:val="false"/>
                <w:bCs w:val="false"/>
                <w:color w:val="222222"/>
                <w:sz w:val="20"/>
                <w:szCs w:val="20"/>
              </w:rPr>
              <w:t xml:space="preserve">Serveur dédié, hébergement cible dans l'Union européenne pour les données sensibles</w:t>
            </w:r>
          </w:p>
        </w:tc>
      </w:tr>
      <w:tr>
        <w:tc>
          <w:tcPr>
            <w:tcW w:type="dxa" w:w="3000"/>
            <w:shd w:fill="F2F2F2" w:val="clear"/>
            <w:tcMar>
              <w:top w:type="dxa" w:w="80"/>
              <w:left w:type="dxa" w:w="100"/>
              <w:bottom w:type="dxa" w:w="80"/>
              <w:right w:type="dxa" w:w="100"/>
            </w:tcMar>
            <w:vAlign w:val="center"/>
          </w:tcPr>
          <w:p>
            <w:pPr>
              <w:jc w:val="left"/>
            </w:pPr>
            <w:r>
              <w:rPr>
                <w:b/>
                <w:bCs/>
                <w:color w:val="222222"/>
                <w:sz w:val="20"/>
                <w:szCs w:val="20"/>
              </w:rPr>
              <w:t xml:space="preserve">Nom de domaine</w:t>
            </w:r>
          </w:p>
        </w:tc>
        <w:tc>
          <w:tcPr>
            <w:tcW w:type="dxa" w:w="6800"/>
            <w:tcMar>
              <w:top w:type="dxa" w:w="80"/>
              <w:left w:type="dxa" w:w="100"/>
              <w:bottom w:type="dxa" w:w="80"/>
              <w:right w:type="dxa" w:w="100"/>
            </w:tcMar>
            <w:vAlign w:val="center"/>
          </w:tcPr>
          <w:p>
            <w:pPr>
              <w:jc w:val="left"/>
            </w:pPr>
            <w:r>
              <w:rPr>
                <w:b w:val="false"/>
                <w:bCs w:val="false"/>
                <w:color w:val="222222"/>
                <w:sz w:val="20"/>
                <w:szCs w:val="20"/>
              </w:rPr>
              <w:t xml:space="preserve">Acheté et géré via Cloudflare</w:t>
            </w:r>
          </w:p>
        </w:tc>
      </w:tr>
      <w:tr>
        <w:tc>
          <w:tcPr>
            <w:tcW w:type="dxa" w:w="3000"/>
            <w:shd w:fill="F2F2F2" w:val="clear"/>
            <w:tcMar>
              <w:top w:type="dxa" w:w="80"/>
              <w:left w:type="dxa" w:w="100"/>
              <w:bottom w:type="dxa" w:w="80"/>
              <w:right w:type="dxa" w:w="100"/>
            </w:tcMar>
            <w:vAlign w:val="center"/>
          </w:tcPr>
          <w:p>
            <w:pPr>
              <w:jc w:val="left"/>
            </w:pPr>
            <w:r>
              <w:rPr>
                <w:b/>
                <w:bCs/>
                <w:color w:val="222222"/>
                <w:sz w:val="20"/>
                <w:szCs w:val="20"/>
              </w:rPr>
              <w:t xml:space="preserve">Visioconférence</w:t>
            </w:r>
          </w:p>
        </w:tc>
        <w:tc>
          <w:tcPr>
            <w:tcW w:type="dxa" w:w="6800"/>
            <w:tcMar>
              <w:top w:type="dxa" w:w="80"/>
              <w:left w:type="dxa" w:w="100"/>
              <w:bottom w:type="dxa" w:w="80"/>
              <w:right w:type="dxa" w:w="100"/>
            </w:tcMar>
            <w:vAlign w:val="center"/>
          </w:tcPr>
          <w:p>
            <w:pPr>
              <w:jc w:val="left"/>
            </w:pPr>
            <w:r>
              <w:rPr>
                <w:b w:val="false"/>
                <w:bCs w:val="false"/>
                <w:color w:val="222222"/>
                <w:sz w:val="20"/>
                <w:szCs w:val="20"/>
              </w:rPr>
              <w:t xml:space="preserve">Google Meet retenu pour le lancement (lien envoyé par email) ; module intégré à la plateforme envisageable en évolution future</w:t>
            </w:r>
          </w:p>
        </w:tc>
      </w:tr>
      <w:tr>
        <w:tc>
          <w:tcPr>
            <w:tcW w:type="dxa" w:w="3000"/>
            <w:shd w:fill="F2F2F2" w:val="clear"/>
            <w:tcMar>
              <w:top w:type="dxa" w:w="80"/>
              <w:left w:type="dxa" w:w="100"/>
              <w:bottom w:type="dxa" w:w="80"/>
              <w:right w:type="dxa" w:w="100"/>
            </w:tcMar>
            <w:vAlign w:val="center"/>
          </w:tcPr>
          <w:p>
            <w:pPr>
              <w:jc w:val="left"/>
            </w:pPr>
            <w:r>
              <w:rPr>
                <w:b/>
                <w:bCs/>
                <w:color w:val="222222"/>
                <w:sz w:val="20"/>
                <w:szCs w:val="20"/>
              </w:rPr>
              <w:t xml:space="preserve">Responsive</w:t>
            </w:r>
          </w:p>
        </w:tc>
        <w:tc>
          <w:tcPr>
            <w:tcW w:type="dxa" w:w="6800"/>
            <w:tcMar>
              <w:top w:type="dxa" w:w="80"/>
              <w:left w:type="dxa" w:w="100"/>
              <w:bottom w:type="dxa" w:w="80"/>
              <w:right w:type="dxa" w:w="100"/>
            </w:tcMar>
            <w:vAlign w:val="center"/>
          </w:tcPr>
          <w:p>
            <w:pPr>
              <w:jc w:val="left"/>
            </w:pPr>
            <w:r>
              <w:rPr>
                <w:b w:val="false"/>
                <w:bCs w:val="false"/>
                <w:color w:val="222222"/>
                <w:sz w:val="20"/>
                <w:szCs w:val="20"/>
              </w:rPr>
              <w:t xml:space="preserve">Une seule application web responsive couvrant smartphone, tablette et ordinateur (mobile-first)</w:t>
            </w:r>
          </w:p>
        </w:tc>
      </w:tr>
    </w:tbl>
    <w:p>
      <w:pPr>
        <w:pStyle w:val="Heading1"/>
        <w:pBdr>
          <w:bottom w:val="single" w:color="B08A3E" w:sz="6" w:space="4"/>
        </w:pBdr>
        <w:spacing w:after="200" w:before="400"/>
      </w:pPr>
      <w:r>
        <w:t xml:space="preserve">13. Périmètre fonctionnel V1</w:t>
      </w:r>
    </w:p>
    <w:p>
      <w:pPr>
        <w:pStyle w:val="ListParagraph"/>
        <w:numPr>
          <w:ilvl w:val="0"/>
          <w:numId w:val="2"/>
        </w:numPr>
        <w:spacing w:after="60"/>
      </w:pPr>
      <w:r>
        <w:t xml:space="preserve">Site vitrine complet (accueil, formations, établissements, services, procédure, candidature en ligne, WhatsApp, contact, actualités).</w:t>
      </w:r>
    </w:p>
    <w:p>
      <w:pPr>
        <w:pStyle w:val="ListParagraph"/>
        <w:numPr>
          <w:ilvl w:val="0"/>
          <w:numId w:val="2"/>
        </w:numPr>
        <w:spacing w:after="60"/>
      </w:pPr>
      <w:r>
        <w:t xml:space="preserve">Inscription, validation de compte et authentification (2FA/MFA).</w:t>
      </w:r>
    </w:p>
    <w:p>
      <w:pPr>
        <w:pStyle w:val="ListParagraph"/>
        <w:numPr>
          <w:ilvl w:val="0"/>
          <w:numId w:val="2"/>
        </w:numPr>
        <w:spacing w:after="60"/>
      </w:pPr>
      <w:r>
        <w:t xml:space="preserve">Gestion des rôles et habilitations.</w:t>
      </w:r>
    </w:p>
    <w:p>
      <w:pPr>
        <w:pStyle w:val="ListParagraph"/>
        <w:numPr>
          <w:ilvl w:val="0"/>
          <w:numId w:val="2"/>
        </w:numPr>
        <w:spacing w:after="60"/>
      </w:pPr>
      <w:r>
        <w:t xml:space="preserve">Catalogue de formations administrable.</w:t>
      </w:r>
    </w:p>
    <w:p>
      <w:pPr>
        <w:pStyle w:val="ListParagraph"/>
        <w:numPr>
          <w:ilvl w:val="0"/>
          <w:numId w:val="2"/>
        </w:numPr>
        <w:spacing w:after="60"/>
      </w:pPr>
      <w:r>
        <w:t xml:space="preserve">Candidature en ligne multi-étapes, multi-candidatures par compte.</w:t>
      </w:r>
    </w:p>
    <w:p>
      <w:pPr>
        <w:pStyle w:val="ListParagraph"/>
        <w:numPr>
          <w:ilvl w:val="0"/>
          <w:numId w:val="2"/>
        </w:numPr>
        <w:spacing w:after="60"/>
      </w:pPr>
      <w:r>
        <w:t xml:space="preserve">Campagnes annuelles et dossiers multiples.</w:t>
      </w:r>
    </w:p>
    <w:p>
      <w:pPr>
        <w:pStyle w:val="ListParagraph"/>
        <w:numPr>
          <w:ilvl w:val="0"/>
          <w:numId w:val="2"/>
        </w:numPr>
        <w:spacing w:after="60"/>
      </w:pPr>
      <w:r>
        <w:t xml:space="preserve">Checklists documentaires configurables ; GED PDF avec versioning et workflow de validation.</w:t>
      </w:r>
    </w:p>
    <w:p>
      <w:pPr>
        <w:pStyle w:val="ListParagraph"/>
        <w:numPr>
          <w:ilvl w:val="0"/>
          <w:numId w:val="2"/>
        </w:numPr>
        <w:spacing w:after="60"/>
      </w:pPr>
      <w:r>
        <w:t xml:space="preserve">Affectation des étudiants aux agents ; moteur d'étapes configurable par filière.</w:t>
      </w:r>
    </w:p>
    <w:p>
      <w:pPr>
        <w:pStyle w:val="ListParagraph"/>
        <w:numPr>
          <w:ilvl w:val="0"/>
          <w:numId w:val="2"/>
        </w:numPr>
        <w:spacing w:after="60"/>
      </w:pPr>
      <w:r>
        <w:t xml:space="preserve">Messagerie et pièces jointes ; page « Remarques ».</w:t>
      </w:r>
    </w:p>
    <w:p>
      <w:pPr>
        <w:pStyle w:val="ListParagraph"/>
        <w:numPr>
          <w:ilvl w:val="0"/>
          <w:numId w:val="2"/>
        </w:numPr>
        <w:spacing w:after="60"/>
      </w:pPr>
      <w:r>
        <w:t xml:space="preserve">Notifications e-mail sur les principaux événements du dossier.</w:t>
      </w:r>
    </w:p>
    <w:p>
      <w:pPr>
        <w:pStyle w:val="ListParagraph"/>
        <w:numPr>
          <w:ilvl w:val="0"/>
          <w:numId w:val="2"/>
        </w:numPr>
        <w:spacing w:after="60"/>
      </w:pPr>
      <w:r>
        <w:t xml:space="preserve">Notes internes, rendez-vous, échéances et rappels.</w:t>
      </w:r>
    </w:p>
    <w:p>
      <w:pPr>
        <w:pStyle w:val="ListParagraph"/>
        <w:numPr>
          <w:ilvl w:val="0"/>
          <w:numId w:val="2"/>
        </w:numPr>
        <w:spacing w:after="60"/>
      </w:pPr>
      <w:r>
        <w:t xml:space="preserve">Suivi des principales étapes de la procédure de mobilité.</w:t>
      </w:r>
    </w:p>
    <w:p>
      <w:pPr>
        <w:pStyle w:val="ListParagraph"/>
        <w:numPr>
          <w:ilvl w:val="0"/>
          <w:numId w:val="2"/>
        </w:numPr>
        <w:spacing w:after="60"/>
      </w:pPr>
      <w:r>
        <w:t xml:space="preserve">Gestion des partenaires et copie automatique des mails.</w:t>
      </w:r>
    </w:p>
    <w:p>
      <w:pPr>
        <w:pStyle w:val="ListParagraph"/>
        <w:numPr>
          <w:ilvl w:val="0"/>
          <w:numId w:val="2"/>
        </w:numPr>
        <w:spacing w:after="60"/>
      </w:pPr>
      <w:r>
        <w:t xml:space="preserve">Paiement : statut hors ligne a minima ; paiement en ligne (Semoa + dépôt bancaire) selon arbitrage client (voir §10).</w:t>
      </w:r>
    </w:p>
    <w:p>
      <w:pPr>
        <w:pStyle w:val="ListParagraph"/>
        <w:numPr>
          <w:ilvl w:val="0"/>
          <w:numId w:val="2"/>
        </w:numPr>
        <w:spacing w:after="60"/>
      </w:pPr>
      <w:r>
        <w:t xml:space="preserve">Tableaux de bord, recherche, filtres et exports.</w:t>
      </w:r>
    </w:p>
    <w:p>
      <w:pPr>
        <w:pStyle w:val="ListParagraph"/>
        <w:numPr>
          <w:ilvl w:val="0"/>
          <w:numId w:val="2"/>
        </w:numPr>
        <w:spacing w:after="60"/>
      </w:pPr>
      <w:r>
        <w:t xml:space="preserve">Journal d'audit, sécurité, sauvegardes et administration.</w:t>
      </w:r>
    </w:p>
    <w:p>
      <w:pPr>
        <w:pStyle w:val="Heading2"/>
        <w:spacing w:after="120" w:before="280"/>
      </w:pPr>
      <w:r>
        <w:t xml:space="preserve">13.1 Hors périmètre initial</w:t>
      </w:r>
    </w:p>
    <w:p>
      <w:pPr>
        <w:pStyle w:val="ListParagraph"/>
        <w:numPr>
          <w:ilvl w:val="0"/>
          <w:numId w:val="2"/>
        </w:numPr>
        <w:spacing w:after="60"/>
      </w:pPr>
      <w:r>
        <w:t xml:space="preserve">Application mobile native Android/iOS.</w:t>
      </w:r>
    </w:p>
    <w:p>
      <w:pPr>
        <w:pStyle w:val="ListParagraph"/>
        <w:numPr>
          <w:ilvl w:val="0"/>
          <w:numId w:val="2"/>
        </w:numPr>
        <w:spacing w:after="60"/>
      </w:pPr>
      <w:r>
        <w:t xml:space="preserve">Notifications WhatsApp et SMS (au-delà du bouton de contact WhatsApp du site vitrine).</w:t>
      </w:r>
    </w:p>
    <w:p>
      <w:pPr>
        <w:pStyle w:val="ListParagraph"/>
        <w:numPr>
          <w:ilvl w:val="0"/>
          <w:numId w:val="2"/>
        </w:numPr>
        <w:spacing w:after="60"/>
      </w:pPr>
      <w:r>
        <w:t xml:space="preserve">Automatisation directe des plateformes officielles de Campus France, consulats ou ambassades.</w:t>
      </w:r>
    </w:p>
    <w:p>
      <w:pPr>
        <w:pStyle w:val="ListParagraph"/>
        <w:numPr>
          <w:ilvl w:val="0"/>
          <w:numId w:val="2"/>
        </w:numPr>
        <w:spacing w:after="60"/>
      </w:pPr>
      <w:r>
        <w:t xml:space="preserve">Prise de décision automatisée sur l'éligibilité ou l'obtention d'un visa.</w:t>
      </w:r>
    </w:p>
    <w:p>
      <w:pPr>
        <w:pStyle w:val="ListParagraph"/>
        <w:numPr>
          <w:ilvl w:val="0"/>
          <w:numId w:val="2"/>
        </w:numPr>
        <w:spacing w:after="60"/>
      </w:pPr>
      <w:r>
        <w:t xml:space="preserve">Portail multi-entreprises / SaaS commercialisé à des tiers.</w:t>
      </w:r>
    </w:p>
    <w:p>
      <w:pPr>
        <w:pStyle w:val="ListParagraph"/>
        <w:numPr>
          <w:ilvl w:val="0"/>
          <w:numId w:val="2"/>
        </w:numPr>
        <w:spacing w:after="60"/>
      </w:pPr>
      <w:r>
        <w:t xml:space="preserve">Multilingue (V1 en français uniquement).</w:t>
      </w:r>
    </w:p>
    <w:p>
      <w:pPr>
        <w:pStyle w:val="ListParagraph"/>
        <w:numPr>
          <w:ilvl w:val="0"/>
          <w:numId w:val="2"/>
        </w:numPr>
        <w:spacing w:after="60"/>
      </w:pPr>
      <w:r>
        <w:t xml:space="preserve">Recommandation de formations assistée par IA (prévue en Phase 3, voir §16).</w:t>
      </w:r>
    </w:p>
    <w:p>
      <w:pPr>
        <w:pStyle w:val="Heading1"/>
        <w:pBdr>
          <w:bottom w:val="single" w:color="B08A3E" w:sz="6" w:space="4"/>
        </w:pBdr>
        <w:spacing w:after="200" w:before="400"/>
      </w:pPr>
      <w:r>
        <w:t xml:space="preserve">14. Contraintes et hypothèses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000"/>
        <w:gridCol w:w="6800"/>
      </w:tblGrid>
      <w:tr>
        <w:tc>
          <w:tcPr>
            <w:tcW w:type="dxa" w:w="3000"/>
            <w:shd w:fill="F2F2F2" w:val="clear"/>
            <w:tcMar>
              <w:top w:type="dxa" w:w="80"/>
              <w:left w:type="dxa" w:w="100"/>
              <w:bottom w:type="dxa" w:w="80"/>
              <w:right w:type="dxa" w:w="100"/>
            </w:tcMar>
            <w:vAlign w:val="center"/>
          </w:tcPr>
          <w:p>
            <w:pPr>
              <w:jc w:val="left"/>
            </w:pPr>
            <w:r>
              <w:rPr>
                <w:b/>
                <w:bCs/>
                <w:color w:val="222222"/>
                <w:sz w:val="20"/>
                <w:szCs w:val="20"/>
              </w:rPr>
              <w:t xml:space="preserve">Priorité</w:t>
            </w:r>
          </w:p>
        </w:tc>
        <w:tc>
          <w:tcPr>
            <w:tcW w:type="dxa" w:w="6800"/>
            <w:tcMar>
              <w:top w:type="dxa" w:w="80"/>
              <w:left w:type="dxa" w:w="100"/>
              <w:bottom w:type="dxa" w:w="80"/>
              <w:right w:type="dxa" w:w="100"/>
            </w:tcMar>
            <w:vAlign w:val="center"/>
          </w:tcPr>
          <w:p>
            <w:pPr>
              <w:jc w:val="left"/>
            </w:pPr>
            <w:r>
              <w:rPr>
                <w:b w:val="false"/>
                <w:bCs w:val="false"/>
                <w:color w:val="222222"/>
                <w:sz w:val="20"/>
                <w:szCs w:val="20"/>
              </w:rPr>
              <w:t xml:space="preserve">Livrer un MVP sécurisé, exploitable et testable avant les raffinements de confort.</w:t>
            </w:r>
          </w:p>
        </w:tc>
      </w:tr>
      <w:tr>
        <w:tc>
          <w:tcPr>
            <w:tcW w:type="dxa" w:w="3000"/>
            <w:shd w:fill="F2F2F2" w:val="clear"/>
            <w:tcMar>
              <w:top w:type="dxa" w:w="80"/>
              <w:left w:type="dxa" w:w="100"/>
              <w:bottom w:type="dxa" w:w="80"/>
              <w:right w:type="dxa" w:w="100"/>
            </w:tcMar>
            <w:vAlign w:val="center"/>
          </w:tcPr>
          <w:p>
            <w:pPr>
              <w:jc w:val="left"/>
            </w:pPr>
            <w:r>
              <w:rPr>
                <w:b/>
                <w:bCs/>
                <w:color w:val="222222"/>
                <w:sz w:val="20"/>
                <w:szCs w:val="20"/>
              </w:rPr>
              <w:t xml:space="preserve">Responsive</w:t>
            </w:r>
          </w:p>
        </w:tc>
        <w:tc>
          <w:tcPr>
            <w:tcW w:type="dxa" w:w="6800"/>
            <w:tcMar>
              <w:top w:type="dxa" w:w="80"/>
              <w:left w:type="dxa" w:w="100"/>
              <w:bottom w:type="dxa" w:w="80"/>
              <w:right w:type="dxa" w:w="100"/>
            </w:tcMar>
            <w:vAlign w:val="center"/>
          </w:tcPr>
          <w:p>
            <w:pPr>
              <w:jc w:val="left"/>
            </w:pPr>
            <w:r>
              <w:rPr>
                <w:b w:val="false"/>
                <w:bCs w:val="false"/>
                <w:color w:val="222222"/>
                <w:sz w:val="20"/>
                <w:szCs w:val="20"/>
              </w:rPr>
              <w:t xml:space="preserve">Une seule application web responsive couvrant smartphone, tablette et ordinateur.</w:t>
            </w:r>
          </w:p>
        </w:tc>
      </w:tr>
      <w:tr>
        <w:tc>
          <w:tcPr>
            <w:tcW w:type="dxa" w:w="3000"/>
            <w:shd w:fill="F2F2F2" w:val="clear"/>
            <w:tcMar>
              <w:top w:type="dxa" w:w="80"/>
              <w:left w:type="dxa" w:w="100"/>
              <w:bottom w:type="dxa" w:w="80"/>
              <w:right w:type="dxa" w:w="100"/>
            </w:tcMar>
            <w:vAlign w:val="center"/>
          </w:tcPr>
          <w:p>
            <w:pPr>
              <w:jc w:val="left"/>
            </w:pPr>
            <w:r>
              <w:rPr>
                <w:b/>
                <w:bCs/>
                <w:color w:val="222222"/>
                <w:sz w:val="20"/>
                <w:szCs w:val="20"/>
              </w:rPr>
              <w:t xml:space="preserve">Capacité initiale</w:t>
            </w:r>
          </w:p>
        </w:tc>
        <w:tc>
          <w:tcPr>
            <w:tcW w:type="dxa" w:w="6800"/>
            <w:tcMar>
              <w:top w:type="dxa" w:w="80"/>
              <w:left w:type="dxa" w:w="100"/>
              <w:bottom w:type="dxa" w:w="80"/>
              <w:right w:type="dxa" w:w="100"/>
            </w:tcMar>
            <w:vAlign w:val="center"/>
          </w:tcPr>
          <w:p>
            <w:pPr>
              <w:jc w:val="left"/>
            </w:pPr>
            <w:r>
              <w:rPr>
                <w:b w:val="false"/>
                <w:bCs w:val="false"/>
                <w:color w:val="222222"/>
                <w:sz w:val="20"/>
                <w:szCs w:val="20"/>
              </w:rPr>
              <w:t xml:space="preserve">Environ 20 collaborateurs Campus One ; dimensionnement étudiant à préciser lors de l'architecture détaillée.</w:t>
            </w:r>
          </w:p>
        </w:tc>
      </w:tr>
      <w:tr>
        <w:tc>
          <w:tcPr>
            <w:tcW w:type="dxa" w:w="3000"/>
            <w:shd w:fill="F2F2F2" w:val="clear"/>
            <w:tcMar>
              <w:top w:type="dxa" w:w="80"/>
              <w:left w:type="dxa" w:w="100"/>
              <w:bottom w:type="dxa" w:w="80"/>
              <w:right w:type="dxa" w:w="100"/>
            </w:tcMar>
            <w:vAlign w:val="center"/>
          </w:tcPr>
          <w:p>
            <w:pPr>
              <w:jc w:val="left"/>
            </w:pPr>
            <w:r>
              <w:rPr>
                <w:b/>
                <w:bCs/>
                <w:color w:val="222222"/>
                <w:sz w:val="20"/>
                <w:szCs w:val="20"/>
              </w:rPr>
              <w:t xml:space="preserve">Évolutivité</w:t>
            </w:r>
          </w:p>
        </w:tc>
        <w:tc>
          <w:tcPr>
            <w:tcW w:type="dxa" w:w="6800"/>
            <w:tcMar>
              <w:top w:type="dxa" w:w="80"/>
              <w:left w:type="dxa" w:w="100"/>
              <w:bottom w:type="dxa" w:w="80"/>
              <w:right w:type="dxa" w:w="100"/>
            </w:tcMar>
            <w:vAlign w:val="center"/>
          </w:tcPr>
          <w:p>
            <w:pPr>
              <w:jc w:val="left"/>
            </w:pPr>
            <w:r>
              <w:rPr>
                <w:b w:val="false"/>
                <w:bCs w:val="false"/>
                <w:color w:val="222222"/>
                <w:sz w:val="20"/>
                <w:szCs w:val="20"/>
              </w:rPr>
              <w:t xml:space="preserve">France en première destination ; architecture conçue pour intégrer d'autres pays ultérieurement.</w:t>
            </w:r>
          </w:p>
        </w:tc>
      </w:tr>
      <w:tr>
        <w:tc>
          <w:tcPr>
            <w:tcW w:type="dxa" w:w="3000"/>
            <w:shd w:fill="F2F2F2" w:val="clear"/>
            <w:tcMar>
              <w:top w:type="dxa" w:w="80"/>
              <w:left w:type="dxa" w:w="100"/>
              <w:bottom w:type="dxa" w:w="80"/>
              <w:right w:type="dxa" w:w="100"/>
            </w:tcMar>
            <w:vAlign w:val="center"/>
          </w:tcPr>
          <w:p>
            <w:pPr>
              <w:jc w:val="left"/>
            </w:pPr>
            <w:r>
              <w:rPr>
                <w:b/>
                <w:bCs/>
                <w:color w:val="222222"/>
                <w:sz w:val="20"/>
                <w:szCs w:val="20"/>
              </w:rPr>
              <w:t xml:space="preserve">Automatisation des étapes</w:t>
            </w:r>
          </w:p>
        </w:tc>
        <w:tc>
          <w:tcPr>
            <w:tcW w:type="dxa" w:w="6800"/>
            <w:tcMar>
              <w:top w:type="dxa" w:w="80"/>
              <w:left w:type="dxa" w:w="100"/>
              <w:bottom w:type="dxa" w:w="80"/>
              <w:right w:type="dxa" w:w="100"/>
            </w:tcMar>
            <w:vAlign w:val="center"/>
          </w:tcPr>
          <w:p>
            <w:pPr>
              <w:jc w:val="left"/>
            </w:pPr>
            <w:r>
              <w:rPr>
                <w:b w:val="false"/>
                <w:bCs w:val="false"/>
                <w:color w:val="222222"/>
                <w:sz w:val="20"/>
                <w:szCs w:val="20"/>
              </w:rPr>
              <w:t xml:space="preserve">Passage manuel entre étapes en V1 (pas de règles automatiques).</w:t>
            </w:r>
          </w:p>
        </w:tc>
      </w:tr>
    </w:tbl>
    <w:p>
      <w:pPr>
        <w:pStyle w:val="Heading1"/>
        <w:pBdr>
          <w:bottom w:val="single" w:color="B08A3E" w:sz="6" w:space="4"/>
        </w:pBdr>
        <w:spacing w:after="200" w:before="400"/>
      </w:pPr>
      <w:r>
        <w:t xml:space="preserve">15. Critères de succès</w:t>
      </w:r>
    </w:p>
    <w:p>
      <w:pPr>
        <w:pStyle w:val="ListParagraph"/>
        <w:numPr>
          <w:ilvl w:val="0"/>
          <w:numId w:val="2"/>
        </w:numPr>
        <w:spacing w:after="60"/>
      </w:pPr>
      <w:r>
        <w:t xml:space="preserve">Un candidat peut consulter une fiche formation, créer un compte, déposer une candidature complète et suivre son dossier sans intervention humaine avant la première relance.</w:t>
      </w:r>
    </w:p>
    <w:p>
      <w:pPr>
        <w:pStyle w:val="ListParagraph"/>
        <w:numPr>
          <w:ilvl w:val="0"/>
          <w:numId w:val="2"/>
        </w:numPr>
        <w:spacing w:after="60"/>
      </w:pPr>
      <w:r>
        <w:t xml:space="preserve">Un étudiant peut s'inscrire, constituer un dossier annuel et suivre son avancement sans échange documentaire externe obligatoire.</w:t>
      </w:r>
    </w:p>
    <w:p>
      <w:pPr>
        <w:pStyle w:val="ListParagraph"/>
        <w:numPr>
          <w:ilvl w:val="0"/>
          <w:numId w:val="2"/>
        </w:numPr>
        <w:spacing w:after="60"/>
      </w:pPr>
      <w:r>
        <w:t xml:space="preserve">Un gestionnaire/agent peut configurer un nouveau parcours d'étapes pour une filière sans intervention technique (sans toucher au code), et retrouve immédiatement les dossiers qui lui sont affectés.</w:t>
      </w:r>
    </w:p>
    <w:p>
      <w:pPr>
        <w:pStyle w:val="ListParagraph"/>
        <w:numPr>
          <w:ilvl w:val="0"/>
          <w:numId w:val="2"/>
        </w:numPr>
        <w:spacing w:after="60"/>
      </w:pPr>
      <w:r>
        <w:t xml:space="preserve">Un partenaire reçoit automatiquement une copie de toutes les communications concernant les candidats qu'il a orientés, dès lors que son code a été renseigné.</w:t>
      </w:r>
    </w:p>
    <w:p>
      <w:pPr>
        <w:pStyle w:val="ListParagraph"/>
        <w:numPr>
          <w:ilvl w:val="0"/>
          <w:numId w:val="2"/>
        </w:numPr>
        <w:spacing w:after="60"/>
      </w:pPr>
      <w:r>
        <w:t xml:space="preserve">Chaque document officiel possède un statut, un historique de versions et une traçabilité de validation.</w:t>
      </w:r>
    </w:p>
    <w:p>
      <w:pPr>
        <w:pStyle w:val="ListParagraph"/>
        <w:numPr>
          <w:ilvl w:val="0"/>
          <w:numId w:val="2"/>
        </w:numPr>
        <w:spacing w:after="60"/>
      </w:pPr>
      <w:r>
        <w:t xml:space="preserve">L'administration peut faire évoluer le catalogue, les campagnes et les checklists sans intervention du développeur.</w:t>
      </w:r>
    </w:p>
    <w:p>
      <w:pPr>
        <w:pStyle w:val="ListParagraph"/>
        <w:numPr>
          <w:ilvl w:val="0"/>
          <w:numId w:val="2"/>
        </w:numPr>
        <w:spacing w:after="60"/>
      </w:pPr>
      <w:r>
        <w:t xml:space="preserve">Les rôles Administrateur, Gestionnaire simple et autres profils appliquent correctement les droits d'accès attendus dans le back-office ; les actions sensibles sont auditables.</w:t>
      </w:r>
    </w:p>
    <w:p>
      <w:pPr>
        <w:pStyle w:val="ListParagraph"/>
        <w:numPr>
          <w:ilvl w:val="0"/>
          <w:numId w:val="2"/>
        </w:numPr>
        <w:spacing w:after="60"/>
      </w:pPr>
      <w:r>
        <w:t xml:space="preserve">La direction dispose d'indicateurs fiables sur l'état des campagnes et des dossiers.</w:t>
      </w:r>
    </w:p>
    <w:p>
      <w:pPr>
        <w:pStyle w:val="ListParagraph"/>
        <w:numPr>
          <w:ilvl w:val="0"/>
          <w:numId w:val="2"/>
        </w:numPr>
        <w:spacing w:after="60"/>
      </w:pPr>
      <w:r>
        <w:t xml:space="preserve">La plateforme absorbe une montée en charge jusqu'à 2 000 candidatures sans dégradation de performance perceptible, et fonctionne correctement sur smartphone, tablette et ordinateur.</w:t>
      </w:r>
    </w:p>
    <w:p>
      <w:pPr>
        <w:pStyle w:val="ListParagraph"/>
        <w:numPr>
          <w:ilvl w:val="0"/>
          <w:numId w:val="2"/>
        </w:numPr>
        <w:spacing w:after="60"/>
      </w:pPr>
      <w:r>
        <w:t xml:space="preserve">La V1 est déployée, testée, documentée et accompagnée d'une procédure de sauvegarde/restauration.</w:t>
      </w:r>
    </w:p>
    <w:p>
      <w:pPr>
        <w:pStyle w:val="Heading1"/>
        <w:pBdr>
          <w:bottom w:val="single" w:color="B08A3E" w:sz="6" w:space="4"/>
        </w:pBdr>
        <w:spacing w:after="200" w:before="400"/>
      </w:pPr>
      <w:r>
        <w:t xml:space="preserve">16. Déploiement par phases</w:t>
      </w:r>
    </w:p>
    <w:p>
      <w:pPr>
        <w:pStyle w:val="Heading2"/>
        <w:spacing w:after="120" w:before="280"/>
      </w:pPr>
      <w:r>
        <w:t xml:space="preserve">Phase 1 – Site commercial</w:t>
      </w:r>
    </w:p>
    <w:p>
      <w:pPr>
        <w:spacing w:after="120"/>
      </w:pPr>
      <w:r>
        <w:t xml:space="preserve">Accueil, présentation, formations, établissements, services, procédure, candidature en ligne (dépôt simple), WhatsApp, contact et actualités.</w:t>
      </w:r>
    </w:p>
    <w:p>
      <w:pPr>
        <w:pStyle w:val="Heading2"/>
        <w:spacing w:after="120" w:before="280"/>
      </w:pPr>
      <w:r>
        <w:t xml:space="preserve">Phase 2 – Digitalisation du parcours candidat</w:t>
      </w:r>
    </w:p>
    <w:p>
      <w:pPr>
        <w:spacing w:after="120"/>
      </w:pPr>
      <w:r>
        <w:t xml:space="preserve">Espace étudiant, compte personnel, dépôt de documents, suivi du dossier, notifications, campagnes et checklists configurables, tableau de bord interne.</w:t>
      </w:r>
    </w:p>
    <w:p>
      <w:pPr>
        <w:pStyle w:val="Heading2"/>
        <w:spacing w:after="120" w:before="280"/>
      </w:pPr>
      <w:r>
        <w:t xml:space="preserve">Phase 3 – Plateforme Campus One complète</w:t>
      </w:r>
    </w:p>
    <w:p>
      <w:pPr>
        <w:spacing w:after="120"/>
      </w:pPr>
      <w:r>
        <w:t xml:space="preserve">CRM complet, gestion des partenaires, paiements en ligne, rendez-vous, automatisations des transitions d'étapes, statistiques avancées et recommandations de formations assistées par IA.</w:t>
      </w:r>
    </w:p>
    <w:p>
      <w:pPr>
        <w:pStyle w:val="Heading1"/>
        <w:pBdr>
          <w:bottom w:val="single" w:color="B08A3E" w:sz="6" w:space="4"/>
        </w:pBdr>
        <w:spacing w:after="200" w:before="400"/>
      </w:pPr>
      <w:r>
        <w:t xml:space="preserve">17. Livrables suivants et validation</w:t>
      </w:r>
    </w:p>
    <w:p>
      <w:pPr>
        <w:spacing w:after="120"/>
      </w:pPr>
      <w:r>
        <w:t xml:space="preserve">Après validation du présent cahier des charges consolidé, les livrables suivants seront préparés : spécifications fonctionnelles détaillées, architecture technique détaillée, modèle de données, dossier de sécurité, dossier de protection des données (RGPD), maquettes fonctionnelles, plan projet et proposition commerciale correspondante.</w:t>
      </w:r>
    </w:p>
    <w:p>
      <w:pPr>
        <w:pBdr>
          <w:left w:val="single" w:color="B08A3E" w:sz="18" w:space="8"/>
        </w:pBdr>
        <w:shd w:fill="FBF3E3" w:val="clear"/>
        <w:spacing w:after="160" w:before="100"/>
      </w:pPr>
      <w:r>
        <w:rPr>
          <w:i/>
          <w:iCs/>
          <w:color w:val="6B5416"/>
          <w:sz w:val="20"/>
          <w:szCs w:val="20"/>
        </w:rPr>
        <w:t xml:space="preserve">Décision attendue de Campus One : validation du besoin, du périmètre V1 (notamment l'arbitrage paiement en ligne / hors ligne et la politique de conservation des données), des rôles, du workflow documentaire, des contraintes de délai et des principales hypothèses, avant passage aux spécifications détaillées.</w:t>
      </w:r>
    </w:p>
    <w:p>
      <w:pPr>
        <w:spacing w:before="400"/>
      </w:pPr>
      <w:r>
        <w:rPr>
          <w:i/>
          <w:iCs/>
          <w:color w:val="5A5A5A"/>
          <w:sz w:val="18"/>
          <w:szCs w:val="18"/>
        </w:rPr>
        <w:t xml:space="preserve">Document de travail modifiable — CAMPUS ONE</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6"/>
        <w:szCs w:val="16"/>
      </w:rPr>
      <w:t xml:space="preserve">Page </w:t>
    </w:r>
    <w:r>
      <w:rPr>
        <w:color w:val="5A5A5A"/>
        <w:sz w:val="16"/>
        <w:szCs w:val="16"/>
      </w:rPr>
      <w:fldChar w:fldCharType="begin"/>
      <w:instrText xml:space="preserve">PAGE</w:instrText>
      <w:fldChar w:fldCharType="separate"/>
      <w:fldChar w:fldCharType="end"/>
    </w:r>
    <w:r>
      <w:rPr>
        <w:color w:val="5A5A5A"/>
        <w:sz w:val="16"/>
        <w:szCs w:val="16"/>
      </w:rPr>
      <w:t xml:space="preserve"> / </w:t>
    </w:r>
    <w:r>
      <w:rPr>
        <w:color w:val="5A5A5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color w:val="5A5A5A"/>
        <w:sz w:val="16"/>
        <w:szCs w:val="16"/>
      </w:rPr>
      <w:t xml:space="preserve">CAMPUS ONE — Cahier des charges consolidé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B2A4A"/>
      <w:sz w:val="30"/>
      <w:szCs w:val="30"/>
    </w:rPr>
  </w:style>
  <w:style w:type="paragraph" w:styleId="Heading2">
    <w:name w:val="Heading 2"/>
    <w:basedOn w:val="Normal"/>
    <w:next w:val="Normal"/>
    <w:qFormat/>
    <w:rPr>
      <w:rFonts w:ascii="Calibri" w:cs="Calibri" w:eastAsia="Calibri" w:hAnsi="Calibri"/>
      <w:b/>
      <w:bCs/>
      <w:color w:val="1B2A4A"/>
      <w:sz w:val="25"/>
      <w:szCs w:val="25"/>
    </w:rPr>
  </w:style>
  <w:style w:type="paragraph" w:styleId="Heading3">
    <w:name w:val="Heading 3"/>
    <w:basedOn w:val="Normal"/>
    <w:next w:val="Normal"/>
    <w:qFormat/>
    <w:rPr>
      <w:rFonts w:ascii="Calibri" w:cs="Calibri" w:eastAsia="Calibri" w:hAnsi="Calibri"/>
      <w:b/>
      <w:bCs/>
      <w:color w:val="B08A3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 Campus One (version consolidée)</dc:title>
  <dc:creator>Campus One</dc:creator>
  <cp:lastModifiedBy>Un-named</cp:lastModifiedBy>
  <cp:revision>1</cp:revision>
  <dcterms:created xsi:type="dcterms:W3CDTF">2026-09-15T05:28:19.565Z</dcterms:created>
  <dcterms:modified xsi:type="dcterms:W3CDTF">2026-09-15T05:28:19.566Z</dcterms:modified>
</cp:coreProperties>
</file>

<file path=docProps/custom.xml><?xml version="1.0" encoding="utf-8"?>
<Properties xmlns="http://schemas.openxmlformats.org/officeDocument/2006/custom-properties" xmlns:vt="http://schemas.openxmlformats.org/officeDocument/2006/docPropsVTypes"/>
</file>