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Times New Roman" w:hAnsi="Times New Roman" w:eastAsia="宋体" w:cs="Arial"/>
          <w:color w:val="333333"/>
          <w:kern w:val="0"/>
          <w:sz w:val="52"/>
          <w:szCs w:val="52"/>
        </w:rPr>
      </w:pPr>
      <w:r>
        <w:rPr>
          <w:rFonts w:hint="eastAsia" w:ascii="Times New Roman" w:hAnsi="Times New Roman" w:eastAsia="宋体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Times New Roman" w:hAnsi="Times New Roman" w:eastAsia="宋体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Times New Roman" w:hAnsi="Times New Roman" w:eastAsia="宋体" w:cs="Arial"/>
          <w:color w:val="333333"/>
          <w:kern w:val="0"/>
          <w:szCs w:val="21"/>
        </w:rPr>
      </w:pPr>
      <w:r>
        <w:rPr>
          <w:rFonts w:ascii="Times New Roman" w:hAnsi="Times New Roman" w:eastAsia="宋体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Times New Roman" w:hAnsi="Times New Roman" w:eastAsia="宋体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Times New Roman" w:hAnsi="Times New Roman" w:eastAsia="宋体" w:cs="Arial"/>
          <w:color w:val="333333"/>
          <w:kern w:val="0"/>
          <w:sz w:val="32"/>
          <w:szCs w:val="32"/>
        </w:rPr>
      </w:pP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Times New Roman" w:hAnsi="Times New Roman" w:eastAsia="宋体" w:cs="Arial"/>
          <w:color w:val="333333"/>
          <w:kern w:val="0"/>
          <w:sz w:val="32"/>
          <w:szCs w:val="32"/>
        </w:rPr>
      </w:pP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2026003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Times New Roman" w:hAnsi="Times New Roman" w:eastAsia="宋体" w:cs="Arial"/>
          <w:color w:val="333333"/>
          <w:kern w:val="0"/>
          <w:sz w:val="32"/>
          <w:szCs w:val="32"/>
        </w:rPr>
      </w:pP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  <w:u w:val="single"/>
        </w:rPr>
        <w:t>帮帮农数字孪生现代化智能平台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hint="default" w:ascii="Times New Roman" w:hAnsi="Times New Roman" w:eastAsia="宋体" w:cs="Arial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  <w:u w:val="single"/>
          <w:lang w:val="en-US" w:eastAsia="zh-CN"/>
        </w:rPr>
        <w:t>V1.0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default" w:ascii="Times New Roman" w:hAnsi="Times New Roman" w:eastAsia="宋体" w:cs="Arial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Times New Roman" w:hAnsi="Times New Roman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2026年4月17日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Times New Roman" w:hAnsi="Times New Roman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4B12673">
      <w:pPr>
        <w:widowControl/>
        <w:ind w:firstLine="42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4C9C714A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45F22E4C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2BCA8054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560BFE9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5BE65453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EC1A2D0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E182CE2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526CE580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742DCCB1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EC6EA67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11008688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6DF788F7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4A1018BE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AECEE11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21DD2371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7B602CED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53F6A615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214338CF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4BBCF12E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661B3487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721CC09C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68D1E9F0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0370C8AD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581285B7">
      <w:pPr>
        <w:widowControl/>
        <w:ind w:firstLine="420"/>
        <w:jc w:val="left"/>
        <w:rPr>
          <w:rFonts w:ascii="Times New Roman" w:hAnsi="Times New Roman" w:eastAsia="宋体"/>
        </w:rPr>
      </w:pPr>
    </w:p>
    <w:p w14:paraId="69949CE1">
      <w:pPr>
        <w:jc w:val="center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目</w:t>
      </w:r>
      <w:r>
        <w:rPr>
          <w:rFonts w:hint="eastAsia" w:ascii="Times New Roman" w:hAnsi="Times New Roman" w:eastAsia="宋体"/>
          <w:sz w:val="32"/>
          <w:szCs w:val="32"/>
        </w:rPr>
        <w:t xml:space="preserve"> </w:t>
      </w:r>
      <w:r>
        <w:rPr>
          <w:rFonts w:ascii="Times New Roman" w:hAnsi="Times New Roman" w:eastAsia="宋体"/>
          <w:sz w:val="32"/>
          <w:szCs w:val="32"/>
        </w:rPr>
        <w:t xml:space="preserve"> 录</w:t>
      </w:r>
    </w:p>
    <w:p w14:paraId="5DFE8EEC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  <w:b w:val="0"/>
          <w:bCs/>
          <w:lang w:val="zh-CN"/>
        </w:rPr>
        <w:fldChar w:fldCharType="begin"/>
      </w:r>
      <w:r>
        <w:rPr>
          <w:rFonts w:ascii="Times New Roman" w:hAnsi="Times New Roman" w:eastAsia="宋体"/>
          <w:b w:val="0"/>
          <w:bCs/>
          <w:lang w:val="zh-CN"/>
        </w:rPr>
        <w:instrText xml:space="preserve"> TOC \o "1-3" \h \z \u </w:instrText>
      </w:r>
      <w:r>
        <w:rPr>
          <w:rFonts w:ascii="Times New Roman" w:hAnsi="Times New Roman" w:eastAsia="宋体"/>
          <w:b w:val="0"/>
          <w:bCs/>
          <w:lang w:val="zh-CN"/>
        </w:rPr>
        <w:fldChar w:fldCharType="separate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"_Toc100040660"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第一章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需求分析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_Toc100040660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508CF647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"_Toc100040661"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第二章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概要设计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_Toc100040661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520AB6FF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"_Toc100040662"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第三章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详细设计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_Toc100040662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77926357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"_Toc100040663"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第四章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测试报告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_Toc100040663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3593C593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"_Toc100040664"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第五章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安装及使用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_Toc100040664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1658E1A9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"_Toc100040665"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第六章</w:t>
      </w:r>
      <w:r>
        <w:rPr>
          <w:rFonts w:ascii="Times New Roman" w:hAnsi="Times New Roman" w:eastAsia="宋体"/>
          <w:b w:val="0"/>
          <w:sz w:val="21"/>
          <w:szCs w:val="22"/>
        </w:rPr>
        <w:tab/>
      </w:r>
      <w:r>
        <w:rPr>
          <w:rStyle w:val="13"/>
          <w:rFonts w:ascii="Times New Roman" w:hAnsi="Times New Roman" w:eastAsia="宋体"/>
          <w:b w:val="0"/>
        </w:rPr>
        <w:t>项目总结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_Toc100040665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6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1304310E">
      <w:pPr>
        <w:pStyle w:val="8"/>
        <w:rPr>
          <w:rFonts w:ascii="Times New Roman" w:hAnsi="Times New Roman" w:eastAsia="宋体"/>
          <w:b w:val="0"/>
          <w:sz w:val="21"/>
          <w:szCs w:val="22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"_Toc100040666"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3"/>
          <w:rFonts w:ascii="Times New Roman" w:hAnsi="Times New Roman" w:eastAsia="宋体"/>
          <w:b w:val="0"/>
        </w:rPr>
        <w:t>参考文献</w:t>
      </w:r>
      <w:r>
        <w:rPr>
          <w:rFonts w:ascii="Times New Roman" w:hAnsi="Times New Roman" w:eastAsia="宋体"/>
          <w:b w:val="0"/>
        </w:rPr>
        <w:tab/>
      </w:r>
      <w:r>
        <w:rPr>
          <w:rFonts w:ascii="Times New Roman" w:hAnsi="Times New Roman" w:eastAsia="宋体"/>
          <w:b w:val="0"/>
        </w:rPr>
        <w:fldChar w:fldCharType="begin"/>
      </w:r>
      <w:r>
        <w:rPr>
          <w:rFonts w:ascii="Times New Roman" w:hAnsi="Times New Roman" w:eastAsia="宋体"/>
          <w:b w:val="0"/>
        </w:rPr>
        <w:instrText xml:space="preserve"> PAGEREF _Toc100040666 \h </w:instrText>
      </w:r>
      <w:r>
        <w:rPr>
          <w:rFonts w:ascii="Times New Roman" w:hAnsi="Times New Roman" w:eastAsia="宋体"/>
          <w:b w:val="0"/>
        </w:rPr>
        <w:fldChar w:fldCharType="separate"/>
      </w:r>
      <w:r>
        <w:rPr>
          <w:rFonts w:ascii="Times New Roman" w:hAnsi="Times New Roman" w:eastAsia="宋体"/>
          <w:b w:val="0"/>
        </w:rPr>
        <w:t>7</w:t>
      </w:r>
      <w:r>
        <w:rPr>
          <w:rFonts w:ascii="Times New Roman" w:hAnsi="Times New Roman" w:eastAsia="宋体"/>
          <w:b w:val="0"/>
        </w:rPr>
        <w:fldChar w:fldCharType="end"/>
      </w:r>
      <w:r>
        <w:rPr>
          <w:rFonts w:ascii="Times New Roman" w:hAnsi="Times New Roman" w:eastAsia="宋体"/>
          <w:b w:val="0"/>
        </w:rPr>
        <w:fldChar w:fldCharType="end"/>
      </w:r>
    </w:p>
    <w:p w14:paraId="687FF6DC">
      <w:pPr>
        <w:pStyle w:val="8"/>
        <w:rPr>
          <w:rFonts w:ascii="Times New Roman" w:hAnsi="Times New Roman" w:eastAsia="宋体"/>
          <w:b w:val="0"/>
        </w:rPr>
      </w:pPr>
      <w:r>
        <w:rPr>
          <w:rFonts w:ascii="Times New Roman" w:hAnsi="Times New Roman" w:eastAsia="宋体"/>
          <w:b w:val="0"/>
          <w:lang w:val="zh-CN"/>
        </w:rPr>
        <w:fldChar w:fldCharType="end"/>
      </w:r>
    </w:p>
    <w:p w14:paraId="251DEDAD">
      <w:pPr>
        <w:pStyle w:val="2"/>
        <w:rPr>
          <w:rFonts w:hint="eastAsia" w:ascii="Times New Roman" w:hAnsi="Times New Roman" w:eastAsia="黑体" w:cs="黑体"/>
        </w:rPr>
      </w:pPr>
      <w:bookmarkStart w:id="0" w:name="_Toc100040660"/>
      <w:r>
        <w:rPr>
          <w:rFonts w:hint="eastAsia" w:ascii="Times New Roman" w:hAnsi="Times New Roman" w:eastAsia="黑体" w:cs="黑体"/>
        </w:rPr>
        <w:t>需求分析</w:t>
      </w:r>
      <w:bookmarkEnd w:id="0"/>
    </w:p>
    <w:p w14:paraId="61E07CD4">
      <w:pPr>
        <w:rPr>
          <w:rFonts w:hint="eastAsia" w:ascii="Times New Roman" w:hAnsi="Times New Roman" w:eastAsia="宋体" w:cs="黑体"/>
          <w:sz w:val="32"/>
          <w:szCs w:val="32"/>
        </w:rPr>
      </w:pPr>
      <w:r>
        <w:rPr>
          <w:rFonts w:hint="eastAsia" w:ascii="Times New Roman" w:hAnsi="Times New Roman" w:eastAsia="宋体" w:cs="黑体"/>
          <w:sz w:val="32"/>
          <w:szCs w:val="32"/>
        </w:rPr>
        <w:t>开发背景与解决痛点：</w:t>
      </w:r>
    </w:p>
    <w:p w14:paraId="5008EBDB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现代农业正经历数字化转型，但市面的农业软件多为单纯的“温湿度展示面单”，具有三大致命痛点：传统的二维后台无法管理立体农机设备；农户外业巡检难以及时确认果蔬病因；各类物联网数据无法汇总并转化为有效的“施作建议”。</w:t>
      </w:r>
    </w:p>
    <w:p w14:paraId="1FAE64EB">
      <w:pPr>
        <w:rPr>
          <w:rFonts w:hint="eastAsia" w:ascii="Times New Roman" w:hAnsi="Times New Roman" w:eastAsia="宋体" w:cs="黑体"/>
          <w:sz w:val="32"/>
          <w:szCs w:val="32"/>
        </w:rPr>
      </w:pPr>
      <w:r>
        <w:rPr>
          <w:rFonts w:hint="eastAsia" w:ascii="Times New Roman" w:hAnsi="Times New Roman" w:eastAsia="宋体" w:cs="黑体"/>
          <w:sz w:val="32"/>
          <w:szCs w:val="32"/>
        </w:rPr>
        <w:t>竞品对标与核心定位：</w:t>
      </w:r>
    </w:p>
    <w:p w14:paraId="7BB55FDE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目前主流系统（如某某智慧农业后台）往往功能单一且缺乏 AI 分析能力。本项目《智慧农业数字化协同系统》对标行业高端的智慧大屏系统，定位为**“端云结合技术”和“多模态人工智能”协同的现代数字农业指挥平台**。不仅为用户提供物联网设备直观大屏（DashbordNew、AetherMonitor），还通过引入 3D 数字孪生（FarmMap3D）和 阿里 Qwen 语义分析进行降阶指挥，极大地降低了智慧农业的使用门槛，建立起从种植、监控到大盘产销协同的完美闭环。</w:t>
      </w:r>
    </w:p>
    <w:p w14:paraId="6A10FA88">
      <w:pPr>
        <w:pStyle w:val="2"/>
        <w:rPr>
          <w:rFonts w:hint="eastAsia" w:ascii="Times New Roman" w:hAnsi="Times New Roman" w:eastAsia="黑体" w:cs="黑体"/>
        </w:rPr>
      </w:pPr>
      <w:bookmarkStart w:id="1" w:name="_Toc100040661"/>
      <w:r>
        <w:rPr>
          <w:rFonts w:hint="eastAsia" w:ascii="Times New Roman" w:hAnsi="Times New Roman" w:eastAsia="黑体" w:cs="黑体"/>
        </w:rPr>
        <w:t>概要设计</w:t>
      </w:r>
      <w:bookmarkEnd w:id="1"/>
    </w:p>
    <w:p w14:paraId="09A343BD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主要按照经典的三层结构设计，各层次模块及其调用关系如下：</w:t>
      </w:r>
    </w:p>
    <w:p w14:paraId="01FC6F0C">
      <w:pPr>
        <w:rPr>
          <w:rFonts w:hint="eastAsia" w:ascii="Times New Roman" w:hAnsi="Times New Roman" w:eastAsia="宋体" w:cs="宋体"/>
          <w:b/>
          <w:bCs/>
        </w:rPr>
      </w:pPr>
      <w:r>
        <w:rPr>
          <w:rFonts w:hint="eastAsia" w:ascii="Times New Roman" w:hAnsi="Times New Roman" w:eastAsia="宋体" w:cs="宋体"/>
          <w:b/>
          <w:bCs/>
        </w:rPr>
        <w:t>2.1 系统层次结构</w:t>
      </w:r>
    </w:p>
    <w:p w14:paraId="2E102174">
      <w:pPr>
        <w:rPr>
          <w:rFonts w:hint="eastAsia" w:ascii="Times New Roman" w:hAnsi="Times New Roman" w:eastAsia="宋体"/>
        </w:rPr>
      </w:pPr>
    </w:p>
    <w:p w14:paraId="77CB094F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6215" cy="2159000"/>
            <wp:effectExtent l="0" t="0" r="6985" b="0"/>
            <wp:docPr id="1" name="图片 1" descr="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B21">
      <w:pPr>
        <w:rPr>
          <w:rFonts w:hint="eastAsia" w:ascii="Times New Roman" w:hAnsi="Times New Roman" w:eastAsia="宋体" w:cs="宋体"/>
          <w:lang w:eastAsia="zh-CN"/>
        </w:rPr>
      </w:pPr>
    </w:p>
    <w:p w14:paraId="608A06A5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表现层 (Frontend)： 采用 Vue 2 + Element UI，针对农业监控大盘，我们引入了 Three.js 与高德地图 API，渲染出 3D 与 GIS 结合的立体化虚拟农场。</w:t>
      </w:r>
    </w:p>
    <w:p w14:paraId="09024738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业务层 (Backend)： 采用 Java (Spring Boot) 作为核心服务总枢，提供高度 RESTful 化的服务接口。通过 HTTP / WebSocket 提供无状态服务，通过 MyBatis 执行 ORM 映射。</w:t>
      </w:r>
    </w:p>
    <w:p w14:paraId="7F88AB53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算法与模型层 (AI Agent)： 分为 Python 的 YOLO 端（用于果蔬病害计算机视觉特征提取）和集成阿里云 DashScope SDK 的 Qwen 语义服务端（用于决策推演）。</w:t>
      </w:r>
    </w:p>
    <w:p w14:paraId="344E6C97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b/>
          <w:bCs/>
        </w:rPr>
        <w:t>2.2 核心模块层次划分</w:t>
      </w:r>
    </w:p>
    <w:p w14:paraId="19BAD88A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数据汇总展现中心： 监测分析看板 (DashbordNew.vue)、环境预警 (AetherMonitor.vue)</w:t>
      </w:r>
    </w:p>
    <w:p w14:paraId="7BABD06D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智算与指挥中心： 病害视觉巡检 (FruitDetect.vue)、农情预警与 Qwen 中枢 (Notice.vue)</w:t>
      </w:r>
    </w:p>
    <w:p w14:paraId="68EC1E56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空间地理全景中心： 农场地块 3D 数字孪生指挥 (FarmMap3D.vue、FarmMapGaode.vue)</w:t>
      </w:r>
    </w:p>
    <w:p w14:paraId="5247781D">
      <w:pPr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产供销一体协同： 物资供给管理 (SupplyCenter.vue)、农销订单中心 (MarketCenter.vue)</w:t>
      </w:r>
    </w:p>
    <w:p w14:paraId="47D317A4">
      <w:pPr>
        <w:pStyle w:val="2"/>
        <w:rPr>
          <w:rFonts w:hint="eastAsia" w:ascii="Times New Roman" w:hAnsi="Times New Roman" w:eastAsia="黑体" w:cs="黑体"/>
        </w:rPr>
      </w:pPr>
      <w:bookmarkStart w:id="2" w:name="_Toc100040662"/>
      <w:r>
        <w:rPr>
          <w:rFonts w:hint="eastAsia" w:ascii="Times New Roman" w:hAnsi="Times New Roman" w:eastAsia="黑体" w:cs="黑体"/>
        </w:rPr>
        <w:t>详细设计</w:t>
      </w:r>
      <w:bookmarkEnd w:id="2"/>
    </w:p>
    <w:p w14:paraId="18A4A6C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本系统在技术架构层面打破了常规应用的信息化堆砌，其核心详情如下：</w:t>
      </w:r>
    </w:p>
    <w:p w14:paraId="11DC6C5D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565775" cy="3826510"/>
            <wp:effectExtent l="0" t="0" r="9525" b="8890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E9DC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3.1 基于 Qwen 的语境推演交互（技术创新设计）</w:t>
      </w:r>
    </w:p>
    <w:p w14:paraId="5461490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传统的环境软件数据是死的，本系统的 Notice.vue（公告与指挥）模块融合了多模态生成式 AI：</w:t>
      </w:r>
    </w:p>
    <w:p w14:paraId="21E9853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痛点攻克： 农民看不懂复杂的生化数据。</w:t>
      </w:r>
    </w:p>
    <w:p w14:paraId="7BC43AC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算法接入： 后端定义 QwenServiceImpl 构建 Agent 逻辑，前端发起请求后，模型不仅能对生硬的表单记录进行文笔润色，还能提取前三天的高频词云（如：炭疽病 98%、水肥不足），结合当前温湿度生成自动化的“设备调控建议”。配合 ios-dialog 对话框设计及 fadeInText 大模型回显打字动画，体验与行业内顶尖 AI 助理对齐。</w:t>
      </w:r>
    </w:p>
    <w:p w14:paraId="761946F5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3.2 基于 WebGL 的元宇宙农场（交互创新设计）</w:t>
      </w:r>
    </w:p>
    <w:p w14:paraId="2087051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设计逻辑抛弃干瘪的数据列表，依靠 FarmMap3D.vue 中集成的的三维渲染管线，解析载入农场 .gltf 源文件。</w:t>
      </w:r>
    </w:p>
    <w:p w14:paraId="4A8A8BB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采用 HDR 环境光渲染真实农田天候，配合 OrbitControls 技术让用户可使用鼠标360度漫游农场，悬浮查看土壤温度插桩探头，实现极客视角的立体监控。</w:t>
      </w:r>
    </w:p>
    <w:p w14:paraId="351C435D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3.3 YOLO 并行视觉巡检与安全架构设计</w:t>
      </w:r>
    </w:p>
    <w:p w14:paraId="28DA8051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数据库方面（MySQL）设计符合 3NF 规范，为保障推理安全性，在 FruitDetect.vue 组件通过 &lt;el-upload&gt; 设置严格拦截。用户上传西红柿、草莓等病叶或病果图片，必须携带系统的合法 JWT token Header 放行。后台校验通过后发送至 Python 侧读取张量推演，最终回传带有高亮检测框与置信度的数据实体。整个过程实现高内聚低耦合。</w:t>
      </w:r>
    </w:p>
    <w:p w14:paraId="1C0BB4EA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(建议此处配 1-2 张核心模块流程图，或者 E-R 图表)</w:t>
      </w:r>
    </w:p>
    <w:p w14:paraId="77BF6F62">
      <w:pPr>
        <w:rPr>
          <w:rFonts w:hint="eastAsia" w:ascii="Times New Roman" w:hAnsi="Times New Roman" w:eastAsia="宋体"/>
        </w:rPr>
      </w:pPr>
    </w:p>
    <w:p w14:paraId="6FB45DAD">
      <w:pPr>
        <w:rPr>
          <w:rFonts w:hint="eastAsia" w:ascii="Times New Roman" w:hAnsi="Times New Roman" w:eastAsia="宋体"/>
        </w:rPr>
      </w:pPr>
    </w:p>
    <w:p w14:paraId="3C79CF58">
      <w:pPr>
        <w:rPr>
          <w:rFonts w:hint="eastAsia" w:ascii="Times New Roman" w:hAnsi="Times New Roman" w:eastAsia="宋体"/>
        </w:rPr>
      </w:pPr>
    </w:p>
    <w:p w14:paraId="12390D11">
      <w:pPr>
        <w:pStyle w:val="2"/>
        <w:rPr>
          <w:rFonts w:hint="eastAsia" w:ascii="Times New Roman" w:hAnsi="Times New Roman" w:eastAsia="黑体" w:cs="黑体"/>
        </w:rPr>
      </w:pPr>
      <w:bookmarkStart w:id="3" w:name="_Toc100040663"/>
      <w:r>
        <w:rPr>
          <w:rFonts w:hint="eastAsia" w:ascii="Times New Roman" w:hAnsi="Times New Roman" w:eastAsia="黑体" w:cs="黑体"/>
        </w:rPr>
        <w:t>测试报告</w:t>
      </w:r>
      <w:bookmarkEnd w:id="3"/>
    </w:p>
    <w:p w14:paraId="3EE1A3F2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我们在本地及云端进行了多轮高压业务与集成测试：</w:t>
      </w:r>
    </w:p>
    <w:p w14:paraId="6A27108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4.1 综合性能及技术指标验证</w:t>
      </w:r>
    </w:p>
    <w:p w14:paraId="1F2C1EB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运行速度： 在网络测试中，前端首屏采用按需挂载缓存（Vue keep-alive 机制），冷启动在 1.5s 以内加载完毕。</w:t>
      </w:r>
    </w:p>
    <w:p w14:paraId="0DEB84A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响应延时： 针对通义千问模型请求，由于采用了异步长轮询方案防阻塞，即使网络环境极差，前端依旧无卡顿；大模型平均生成时间控制在 2s，完全达到商业应用标准。</w:t>
      </w:r>
    </w:p>
    <w:p w14:paraId="06D37AFB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鲁棒性与异常规避： 在故意制造系统断连引发图片乱码的黑盒测试中，由于我们在 Notice.vue 为所有的图片挂载了完善的异常图片插槽 (&lt;div slot="error"&gt;) 和列表 Null 断言检查，即便云端崩溃，前端仍能展示占位图优雅降级，未发生系统白屏事件。</w:t>
      </w:r>
    </w:p>
    <w:p w14:paraId="22F48A92">
      <w:pPr>
        <w:pStyle w:val="2"/>
        <w:rPr>
          <w:rFonts w:hint="eastAsia" w:ascii="Times New Roman" w:hAnsi="Times New Roman" w:eastAsia="黑体" w:cs="黑体"/>
        </w:rPr>
      </w:pPr>
      <w:bookmarkStart w:id="4" w:name="_Toc100040664"/>
      <w:r>
        <w:rPr>
          <w:rFonts w:hint="eastAsia" w:ascii="Times New Roman" w:hAnsi="Times New Roman" w:eastAsia="黑体" w:cs="黑体"/>
        </w:rPr>
        <w:t>安装及使用</w:t>
      </w:r>
      <w:bookmarkEnd w:id="4"/>
    </w:p>
    <w:p w14:paraId="3165EC25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5.1 安装环境与部署要求</w:t>
      </w:r>
    </w:p>
    <w:p w14:paraId="6328B5AC">
      <w:pPr>
        <w:rPr>
          <w:rFonts w:hint="eastAsia" w:ascii="Times New Roman" w:hAnsi="Times New Roman" w:eastAsia="宋体"/>
        </w:rPr>
      </w:pPr>
    </w:p>
    <w:p w14:paraId="5798FB6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前端环境： Node.js &gt;= 14，Nginx (用于后期动静分离与反向代理)</w:t>
      </w:r>
    </w:p>
    <w:p w14:paraId="3F48DEF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后端环境： JDK 1.8+、Maven 3.6+、MySQL 8.0、Redis 6.0</w:t>
      </w:r>
    </w:p>
    <w:p w14:paraId="662D43B5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算法与 AI 端配置： Python 3.9+，通过运行包内的 installPackages.py (包含 PyTorch / FastAPI) 装载所需库。务必在后端根目录下的 application.yml 内配置有效的 QWEN_API_KEY。</w:t>
      </w:r>
    </w:p>
    <w:p w14:paraId="1EAC9A27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5.2 典型使用流程</w:t>
      </w:r>
    </w:p>
    <w:p w14:paraId="09B491B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系统默认采用 Admin 管理员登录。</w:t>
      </w:r>
    </w:p>
    <w:p w14:paraId="238A69A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进入 DashbordNew 控制台鸟瞰农田气候与营收总体态势。</w:t>
      </w:r>
    </w:p>
    <w:p w14:paraId="71A2390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若收到线下警报，可切入 FruitDetect ，拍摄农田疑似病果图片交由 AI 视觉判定确认病因。</w:t>
      </w:r>
    </w:p>
    <w:p w14:paraId="5A63704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病情查明后立刻转至 SupplyCenter 查询调取有机肥料或药剂储量。</w:t>
      </w:r>
    </w:p>
    <w:p w14:paraId="0BAF23B1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最终在 Notice.vue 通知中，利用阿里 Qwen 智能一键生成病虫害防御的指令下发给全线员工。</w:t>
      </w:r>
    </w:p>
    <w:p w14:paraId="699B0C6C">
      <w:pPr>
        <w:pStyle w:val="2"/>
        <w:rPr>
          <w:rFonts w:hint="eastAsia" w:ascii="Times New Roman" w:hAnsi="Times New Roman" w:eastAsia="黑体" w:cs="黑体"/>
        </w:rPr>
      </w:pPr>
      <w:bookmarkStart w:id="5" w:name="_Toc100040665"/>
      <w:r>
        <w:rPr>
          <w:rFonts w:hint="eastAsia" w:ascii="Times New Roman" w:hAnsi="Times New Roman" w:eastAsia="黑体" w:cs="黑体"/>
        </w:rPr>
        <w:t>项目总结</w:t>
      </w:r>
      <w:bookmarkEnd w:id="5"/>
    </w:p>
    <w:p w14:paraId="71EDC028">
      <w:pPr>
        <w:rPr>
          <w:rFonts w:hint="eastAsia" w:ascii="Times New Roman" w:hAnsi="Times New Roman" w:eastAsia="宋体"/>
          <w:b/>
          <w:bCs/>
          <w:lang w:val="zh-CN"/>
        </w:rPr>
      </w:pPr>
      <w:r>
        <w:rPr>
          <w:rFonts w:hint="eastAsia" w:ascii="Times New Roman" w:hAnsi="Times New Roman" w:eastAsia="宋体"/>
          <w:b/>
          <w:bCs/>
          <w:lang w:val="zh-CN"/>
        </w:rPr>
        <w:t>感悟与技术水平提升：</w:t>
      </w:r>
    </w:p>
    <w:p w14:paraId="232ED7D2">
      <w:pPr>
        <w:rPr>
          <w:rFonts w:hint="eastAsia" w:ascii="Times New Roman" w:hAnsi="Times New Roman" w:eastAsia="宋体"/>
          <w:lang w:val="zh-CN"/>
        </w:rPr>
      </w:pPr>
      <w:r>
        <w:rPr>
          <w:rFonts w:hint="eastAsia" w:ascii="Times New Roman" w:hAnsi="Times New Roman" w:eastAsia="宋体"/>
          <w:lang w:val="zh-CN"/>
        </w:rPr>
        <w:t>在整个大赛的开发全周期内，我们团队经历了从底层的 Spring Boot 数据编排、到前沿前端的 Thr</w:t>
      </w:r>
      <w:bookmarkStart w:id="7" w:name="_GoBack"/>
      <w:r>
        <w:rPr>
          <w:rFonts w:hint="eastAsia" w:ascii="Times New Roman" w:hAnsi="Times New Roman" w:eastAsia="宋体"/>
          <w:lang w:val="zh-CN"/>
        </w:rPr>
        <w:t>ee.js</w:t>
      </w:r>
      <w:bookmarkEnd w:id="7"/>
      <w:r>
        <w:rPr>
          <w:rFonts w:hint="eastAsia" w:ascii="Times New Roman" w:hAnsi="Times New Roman" w:eastAsia="宋体"/>
          <w:lang w:val="zh-CN"/>
        </w:rPr>
        <w:t xml:space="preserve"> 学习，乃至跨界部署大语言模型架构及视觉计算机学习。这不再是简单的“做一个查增改删网站”，而是真正融合了前后端分离 + CV视觉计算 + NLP生成式大模型跨学科的深度洗礼。在处理深浅色毛玻璃 UI 拟态设计、修复响应式丢失 Bug、进行组件级封装等高压重构阶段，极大地锤炼了系统工程的抗压与协同能力。</w:t>
      </w:r>
    </w:p>
    <w:p w14:paraId="2E326D3C">
      <w:pPr>
        <w:rPr>
          <w:rFonts w:hint="eastAsia" w:ascii="Times New Roman" w:hAnsi="Times New Roman" w:eastAsia="宋体"/>
          <w:b/>
          <w:bCs/>
          <w:lang w:val="zh-CN"/>
        </w:rPr>
      </w:pPr>
      <w:r>
        <w:rPr>
          <w:rFonts w:hint="eastAsia" w:ascii="Times New Roman" w:hAnsi="Times New Roman" w:eastAsia="宋体"/>
          <w:b/>
          <w:bCs/>
          <w:lang w:val="zh-CN"/>
        </w:rPr>
        <w:t>升级演进与商业推广：</w:t>
      </w:r>
    </w:p>
    <w:p w14:paraId="47E10FEC">
      <w:pPr>
        <w:rPr>
          <w:rFonts w:ascii="Times New Roman" w:hAnsi="Times New Roman" w:eastAsia="宋体"/>
          <w:lang w:val="zh-CN"/>
        </w:rPr>
      </w:pPr>
      <w:r>
        <w:rPr>
          <w:rFonts w:hint="eastAsia" w:ascii="Times New Roman" w:hAnsi="Times New Roman" w:eastAsia="宋体"/>
          <w:lang w:val="zh-CN"/>
        </w:rPr>
        <w:t>当前《帮帮农数字孪生现代化智能平台》在PC端已具备非常卓越的商用闭环展现体系。商业变现上，我们的架构天然适用于向中小微型农业合作社以 SaaS 模式授权出租。在后续升级中，我们计划开发兼容微信小程序的轻量化微端版本，让基层的每一位农民在手机镜头上一扫就能防病治虫，真正让前沿的“双模态 AI 与数字孪生”技术下沉到广袤的乡间沃土田野中去。</w:t>
      </w:r>
    </w:p>
    <w:p w14:paraId="355C4746">
      <w:pPr>
        <w:pStyle w:val="2"/>
        <w:rPr>
          <w:rFonts w:hint="eastAsia" w:ascii="Times New Roman" w:hAnsi="Times New Roman" w:eastAsia="黑体" w:cs="黑体"/>
        </w:rPr>
      </w:pPr>
      <w:bookmarkStart w:id="6" w:name="_Toc100040666"/>
      <w:r>
        <w:rPr>
          <w:rFonts w:hint="eastAsia" w:ascii="Times New Roman" w:hAnsi="Times New Roman" w:eastAsia="黑体" w:cs="黑体"/>
        </w:rPr>
        <w:t>参考文献</w:t>
      </w:r>
      <w:bookmarkEnd w:id="6"/>
    </w:p>
    <w:p w14:paraId="52C8719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[1] 尤雨溪. Vue.js 官方指南及核心概念 [EB/OL]. https://v2.cn.vuejs.org.</w:t>
      </w:r>
    </w:p>
    <w:p w14:paraId="2C09C091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[2] 阿里云. 通义千问（Qwen）大模型服务全参开发者文档 [M/OL]. (2024).</w:t>
      </w:r>
    </w:p>
    <w:p w14:paraId="1FF3EEB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[3] Mr.doob. Three.js: JavaScript 3D Library [CP/OL]. https://github.com/mrdoob/three.js.</w:t>
      </w:r>
    </w:p>
    <w:p w14:paraId="28FE3C5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[4] Redmon, J., Farhadi, A. YOLOv3: An Incremental Improvement [J]. Computer Vision and Pattern Recognition, 2018.</w:t>
      </w:r>
    </w:p>
    <w:p w14:paraId="1B2EDD60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[5] 孙卫琴. 精通 Spring Boot：深入架构及模块化开发 [M]. 电子工业出版社, 2021.</w:t>
      </w: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汉仪旗黑 Lenovo 60S">
    <w:panose1 w:val="00000500000000000000"/>
    <w:charset w:val="86"/>
    <w:family w:val="auto"/>
    <w:pitch w:val="default"/>
    <w:sig w:usb0="00000013" w:usb1="080F1810" w:usb2="00000016" w:usb3="00000000" w:csb0="0004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h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6"/>
      <w:jc w:val="right"/>
    </w:pPr>
  </w:p>
  <w:p w14:paraId="0BEE574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320B63CE"/>
    <w:rsid w:val="3A0107DF"/>
    <w:rsid w:val="47B93C68"/>
    <w:rsid w:val="4DE47767"/>
    <w:rsid w:val="4E256445"/>
    <w:rsid w:val="54C05405"/>
    <w:rsid w:val="5F19453C"/>
    <w:rsid w:val="60B30BEB"/>
    <w:rsid w:val="64771ECF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788</Words>
  <Characters>811</Characters>
  <Lines>9</Lines>
  <Paragraphs>2</Paragraphs>
  <TotalTime>158</TotalTime>
  <ScaleCrop>false</ScaleCrop>
  <LinksUpToDate>false</LinksUpToDate>
  <CharactersWithSpaces>826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全城</cp:lastModifiedBy>
  <cp:lastPrinted>2020-04-27T09:16:00Z</cp:lastPrinted>
  <dcterms:modified xsi:type="dcterms:W3CDTF">2026-04-18T14:13:35Z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eyJoZGlkIjoiZGU4OTVjMWFmZjk0MDJkOGYyOTY2N2RhMjM0Y2Y2YzUiLCJ1c2VySWQiOiIxNTg0OTg3OTU4In0=</vt:lpwstr>
  </property>
</Properties>
</file>