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2E92F">
      <w:pPr>
        <w:spacing w:before="560" w:after="120"/>
        <w:jc w:val="center"/>
      </w:pPr>
    </w:p>
    <w:p w14:paraId="01B10808">
      <w:pPr>
        <w:spacing w:after="100"/>
        <w:jc w:val="center"/>
      </w:pPr>
      <w:r>
        <w:rPr>
          <w:rFonts w:ascii="Calibri" w:hAnsi="Calibri" w:eastAsia="微软雅黑"/>
          <w:b/>
          <w:color w:val="163A5F"/>
          <w:sz w:val="54"/>
        </w:rPr>
        <w:t>业余无线电卫星 UV 通信地面站</w:t>
      </w:r>
    </w:p>
    <w:p w14:paraId="5794D84F">
      <w:pPr>
        <w:spacing w:after="360"/>
        <w:jc w:val="center"/>
      </w:pPr>
    </w:p>
    <w:p w14:paraId="5F0AB93A">
      <w:pPr>
        <w:jc w:val="center"/>
      </w:pPr>
      <w:r>
        <w:drawing>
          <wp:inline distT="0" distB="0" distL="114300" distR="114300">
            <wp:extent cx="5989320" cy="3479165"/>
            <wp:effectExtent l="0" t="0" r="5080" b="635"/>
            <wp:docPr id="1" name="Picture 1" descr="屋面安装的业余无线电卫星UV双频定向天线及方位俯仰跟踪机构现场照片" title="屋面安装的业余无线电卫星UV双频定向天线及方位俯仰跟踪机构现场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屋面安装的业余无线电卫星UV双频定向天线及方位俯仰跟踪机构现场照片" title="屋面安装的业余无线电卫星UV双频定向天线及方位俯仰跟踪机构现场照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7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A99D">
      <w:r>
        <w:br w:type="page"/>
      </w:r>
    </w:p>
    <w:p w14:paraId="7256C508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目录</w:t>
      </w:r>
    </w:p>
    <w:p w14:paraId="22E4B3FD">
      <w:pPr>
        <w:spacing w:after="100"/>
      </w:pPr>
      <w:r>
        <w:rPr>
          <w:rFonts w:ascii="Calibri" w:hAnsi="Calibri" w:eastAsia="微软雅黑"/>
          <w:b/>
          <w:color w:val="2E74B5"/>
          <w:sz w:val="21"/>
        </w:rPr>
        <w:t>1</w:t>
      </w:r>
      <w:r>
        <w:rPr>
          <w:rFonts w:ascii="Calibri" w:hAnsi="Calibri" w:eastAsia="微软雅黑"/>
          <w:color w:val="243444"/>
          <w:sz w:val="21"/>
        </w:rPr>
        <w:t xml:space="preserve">   项目概述与建设目标</w:t>
      </w:r>
    </w:p>
    <w:p w14:paraId="11E5EF69">
      <w:pPr>
        <w:spacing w:after="100"/>
      </w:pPr>
      <w:r>
        <w:rPr>
          <w:rFonts w:ascii="Calibri" w:hAnsi="Calibri" w:eastAsia="微软雅黑"/>
          <w:b/>
          <w:color w:val="2E74B5"/>
          <w:sz w:val="21"/>
        </w:rPr>
        <w:t>2</w:t>
      </w:r>
      <w:r>
        <w:rPr>
          <w:rFonts w:ascii="Calibri" w:hAnsi="Calibri" w:eastAsia="微软雅黑"/>
          <w:color w:val="243444"/>
          <w:sz w:val="21"/>
        </w:rPr>
        <w:t xml:space="preserve">   现场系统与总体方案</w:t>
      </w:r>
    </w:p>
    <w:p w14:paraId="11A8CC0F">
      <w:pPr>
        <w:spacing w:after="100"/>
      </w:pPr>
      <w:r>
        <w:rPr>
          <w:rFonts w:ascii="Calibri" w:hAnsi="Calibri" w:eastAsia="微软雅黑"/>
          <w:b/>
          <w:color w:val="2E74B5"/>
          <w:sz w:val="21"/>
        </w:rPr>
        <w:t>3</w:t>
      </w:r>
      <w:r>
        <w:rPr>
          <w:rFonts w:ascii="Calibri" w:hAnsi="Calibri" w:eastAsia="微软雅黑"/>
          <w:color w:val="243444"/>
          <w:sz w:val="21"/>
        </w:rPr>
        <w:t xml:space="preserve">   系统组成及接口说明</w:t>
      </w:r>
    </w:p>
    <w:p w14:paraId="5038AA4C">
      <w:pPr>
        <w:spacing w:after="100"/>
      </w:pPr>
      <w:r>
        <w:rPr>
          <w:rFonts w:ascii="Calibri" w:hAnsi="Calibri" w:eastAsia="微软雅黑"/>
          <w:b/>
          <w:color w:val="2E74B5"/>
          <w:sz w:val="21"/>
        </w:rPr>
        <w:t>4</w:t>
      </w:r>
      <w:r>
        <w:rPr>
          <w:rFonts w:ascii="Calibri" w:hAnsi="Calibri" w:eastAsia="微软雅黑"/>
          <w:color w:val="243444"/>
          <w:sz w:val="21"/>
        </w:rPr>
        <w:t xml:space="preserve">   核心功能介绍</w:t>
      </w:r>
    </w:p>
    <w:p w14:paraId="581B912D">
      <w:pPr>
        <w:spacing w:after="100"/>
      </w:pPr>
      <w:r>
        <w:rPr>
          <w:rFonts w:ascii="Calibri" w:hAnsi="Calibri" w:eastAsia="微软雅黑"/>
          <w:b/>
          <w:color w:val="2E74B5"/>
          <w:sz w:val="21"/>
        </w:rPr>
        <w:t>5</w:t>
      </w:r>
      <w:r>
        <w:rPr>
          <w:rFonts w:ascii="Calibri" w:hAnsi="Calibri" w:eastAsia="微软雅黑"/>
          <w:color w:val="243444"/>
          <w:sz w:val="21"/>
        </w:rPr>
        <w:t xml:space="preserve">   典型业务流程</w:t>
      </w:r>
    </w:p>
    <w:p w14:paraId="05B30E2D">
      <w:pPr>
        <w:spacing w:after="100"/>
      </w:pPr>
      <w:r>
        <w:rPr>
          <w:rFonts w:ascii="Calibri" w:hAnsi="Calibri" w:eastAsia="微软雅黑"/>
          <w:b/>
          <w:color w:val="2E74B5"/>
          <w:sz w:val="21"/>
        </w:rPr>
        <w:t>6</w:t>
      </w:r>
      <w:r>
        <w:rPr>
          <w:rFonts w:ascii="Calibri" w:hAnsi="Calibri" w:eastAsia="微软雅黑"/>
          <w:color w:val="243444"/>
          <w:sz w:val="21"/>
        </w:rPr>
        <w:t xml:space="preserve">   软件与数据管理</w:t>
      </w:r>
    </w:p>
    <w:p w14:paraId="1BEA2C82">
      <w:pPr>
        <w:spacing w:after="100"/>
      </w:pPr>
      <w:r>
        <w:rPr>
          <w:rFonts w:ascii="Calibri" w:hAnsi="Calibri" w:eastAsia="微软雅黑"/>
          <w:b/>
          <w:color w:val="2E74B5"/>
          <w:sz w:val="21"/>
        </w:rPr>
        <w:t>7</w:t>
      </w:r>
      <w:r>
        <w:rPr>
          <w:rFonts w:ascii="Calibri" w:hAnsi="Calibri" w:eastAsia="微软雅黑"/>
          <w:color w:val="243444"/>
          <w:sz w:val="21"/>
        </w:rPr>
        <w:t xml:space="preserve">   安装部署与工程要求</w:t>
      </w:r>
    </w:p>
    <w:p w14:paraId="38A2A477">
      <w:pPr>
        <w:spacing w:after="100"/>
      </w:pPr>
      <w:r>
        <w:rPr>
          <w:rFonts w:ascii="Calibri" w:hAnsi="Calibri" w:eastAsia="微软雅黑"/>
          <w:b/>
          <w:color w:val="2E74B5"/>
          <w:sz w:val="21"/>
        </w:rPr>
        <w:t>8</w:t>
      </w:r>
      <w:r>
        <w:rPr>
          <w:rFonts w:ascii="Calibri" w:hAnsi="Calibri" w:eastAsia="微软雅黑"/>
          <w:color w:val="243444"/>
          <w:sz w:val="21"/>
        </w:rPr>
        <w:t xml:space="preserve">   安全、合规与风险控制</w:t>
      </w:r>
    </w:p>
    <w:p w14:paraId="2BF971C8">
      <w:pPr>
        <w:spacing w:after="100"/>
      </w:pPr>
      <w:r>
        <w:rPr>
          <w:rFonts w:ascii="Calibri" w:hAnsi="Calibri" w:eastAsia="微软雅黑"/>
          <w:b/>
          <w:color w:val="2E74B5"/>
          <w:sz w:val="21"/>
        </w:rPr>
        <w:t>9</w:t>
      </w:r>
      <w:r>
        <w:rPr>
          <w:rFonts w:ascii="Calibri" w:hAnsi="Calibri" w:eastAsia="微软雅黑"/>
          <w:color w:val="243444"/>
          <w:sz w:val="21"/>
        </w:rPr>
        <w:t xml:space="preserve">   测试验收建议</w:t>
      </w:r>
    </w:p>
    <w:p w14:paraId="703AACDC">
      <w:pPr>
        <w:spacing w:after="100"/>
      </w:pPr>
      <w:r>
        <w:rPr>
          <w:rFonts w:ascii="Calibri" w:hAnsi="Calibri" w:eastAsia="微软雅黑"/>
          <w:b/>
          <w:color w:val="2E74B5"/>
          <w:sz w:val="21"/>
        </w:rPr>
        <w:t>10</w:t>
      </w:r>
      <w:r>
        <w:rPr>
          <w:rFonts w:ascii="Calibri" w:hAnsi="Calibri" w:eastAsia="微软雅黑"/>
          <w:color w:val="243444"/>
          <w:sz w:val="21"/>
        </w:rPr>
        <w:t xml:space="preserve">   运维保障与培训</w:t>
      </w:r>
    </w:p>
    <w:p w14:paraId="182C0C8A">
      <w:pPr>
        <w:spacing w:after="100"/>
      </w:pPr>
      <w:r>
        <w:rPr>
          <w:rFonts w:ascii="Calibri" w:hAnsi="Calibri" w:eastAsia="微软雅黑"/>
          <w:b/>
          <w:color w:val="2E74B5"/>
          <w:sz w:val="21"/>
        </w:rPr>
        <w:t>11</w:t>
      </w:r>
      <w:r>
        <w:rPr>
          <w:rFonts w:ascii="Calibri" w:hAnsi="Calibri" w:eastAsia="微软雅黑"/>
          <w:color w:val="243444"/>
          <w:sz w:val="21"/>
        </w:rPr>
        <w:t xml:space="preserve">   可扩展能力</w:t>
      </w:r>
    </w:p>
    <w:p w14:paraId="5E3240AD">
      <w:pPr>
        <w:spacing w:after="100"/>
      </w:pPr>
      <w:r>
        <w:rPr>
          <w:rFonts w:ascii="Calibri" w:hAnsi="Calibri" w:eastAsia="微软雅黑"/>
          <w:b/>
          <w:color w:val="2E74B5"/>
          <w:sz w:val="21"/>
        </w:rPr>
        <w:t>12</w:t>
      </w:r>
      <w:r>
        <w:rPr>
          <w:rFonts w:ascii="Calibri" w:hAnsi="Calibri" w:eastAsia="微软雅黑"/>
          <w:color w:val="243444"/>
          <w:sz w:val="21"/>
        </w:rPr>
        <w:t xml:space="preserve">   交付边界与待确认事项</w:t>
      </w:r>
    </w:p>
    <w:p w14:paraId="679FED92">
      <w:pPr>
        <w:spacing w:after="20"/>
      </w:pPr>
    </w:p>
    <w:p w14:paraId="7C97E5BA">
      <w:r>
        <w:br w:type="page"/>
      </w:r>
    </w:p>
    <w:p w14:paraId="12F6EFFC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方案摘要</w:t>
      </w:r>
    </w:p>
    <w:p w14:paraId="51AC0C8D">
      <w:pPr>
        <w:ind w:firstLine="420" w:firstLineChars="200"/>
      </w:pPr>
      <w:r>
        <w:rPr>
          <w:rFonts w:ascii="Calibri" w:hAnsi="Calibri" w:eastAsia="微软雅黑"/>
          <w:i w:val="0"/>
          <w:color w:val="243444"/>
          <w:sz w:val="21"/>
        </w:rPr>
        <w:t>本项目面向低轨业余无线电卫星过境通信、信标与遥测接收、通联演示、教学科研及运行记录等应用，建设一套由室外双频定向天线、方位/俯仰跟踪机构、射频馈线与保护单元、室内收发及信号处理单元、轨道预报与自动跟踪软件、数据存储及运维保障设施组成的 UV 频段地面站。</w:t>
      </w:r>
    </w:p>
    <w:p w14:paraId="43DF3E9D">
      <w:pPr>
        <w:ind w:firstLine="420" w:firstLineChars="200"/>
      </w:pPr>
      <w:r>
        <w:rPr>
          <w:rFonts w:ascii="Calibri" w:hAnsi="Calibri" w:eastAsia="微软雅黑"/>
          <w:i w:val="0"/>
          <w:color w:val="243444"/>
          <w:sz w:val="21"/>
        </w:rPr>
        <w:t>系统以“可用、可管、可扩展、可验证”为设计主线：既支持人工操作，也可按预先配置的卫星计划自动完成目标选择、天线指向、多普勒修正、接收解调、过程记录与任务归档；同时通过权限、联锁、日志和合规配置约束发射行为，确保运行边界清晰。</w:t>
      </w:r>
    </w:p>
    <w:p w14:paraId="12A2ED68">
      <w:pPr>
        <w:spacing w:after="20"/>
      </w:pPr>
    </w:p>
    <w:p w14:paraId="68583283">
      <w:r>
        <w:rPr>
          <w:rFonts w:ascii="Calibri" w:hAnsi="Calibri" w:eastAsia="微软雅黑"/>
          <w:b/>
          <w:color w:val="2E74B5"/>
          <w:sz w:val="32"/>
        </w:rPr>
        <w:t>1  项目概述与建设目标</w:t>
      </w:r>
    </w:p>
    <w:p w14:paraId="5A3534BE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1.1 建设背景</w:t>
      </w:r>
    </w:p>
    <w:p w14:paraId="5210275B">
      <w:pPr>
        <w:ind w:firstLine="420" w:firstLineChars="200"/>
      </w:pPr>
      <w:r>
        <w:rPr>
          <w:rFonts w:ascii="Calibri" w:hAnsi="Calibri" w:eastAsia="微软雅黑"/>
          <w:i w:val="0"/>
          <w:color w:val="243444"/>
          <w:sz w:val="21"/>
        </w:rPr>
        <w:t>业余无线电卫星通常运行于低地球轨道，单次可见窗口短、角速度变化明显，并伴随频率多普勒偏移。地面站需要在有限过境时间内完成目标判定、天线跟踪、频率补偿、信号解调和数据留存。相较固定全向接收，双频定向天线配合方位/俯仰跟踪能够在合规功率范围内提高链路预算利用效率，并增强弱信号接收和任务复现能力。</w:t>
      </w:r>
    </w:p>
    <w:p w14:paraId="536C81FE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1.2 建设目标</w:t>
      </w:r>
    </w:p>
    <w:p w14:paraId="6F448208">
      <w:pPr>
        <w:pStyle w:val="16"/>
      </w:pPr>
      <w:r>
        <w:rPr>
          <w:rFonts w:ascii="Calibri" w:hAnsi="Calibri" w:eastAsia="微软雅黑"/>
          <w:color w:val="243444"/>
          <w:sz w:val="21"/>
        </w:rPr>
        <w:t>覆盖 VHF/UHF 业余卫星常见业务场景，具备双频接收以及在合法授权条件下的发射能力。</w:t>
      </w:r>
    </w:p>
    <w:p w14:paraId="7CBCF8EF">
      <w:pPr>
        <w:pStyle w:val="16"/>
      </w:pPr>
      <w:r>
        <w:rPr>
          <w:rFonts w:ascii="Calibri" w:hAnsi="Calibri" w:eastAsia="微软雅黑"/>
          <w:color w:val="243444"/>
          <w:sz w:val="21"/>
        </w:rPr>
        <w:t>根据轨道根数和站点坐标预测卫星过境，驱动天线完成方位、俯仰二维跟踪。</w:t>
      </w:r>
    </w:p>
    <w:p w14:paraId="0F204F57">
      <w:pPr>
        <w:pStyle w:val="16"/>
      </w:pPr>
      <w:r>
        <w:rPr>
          <w:rFonts w:ascii="Calibri" w:hAnsi="Calibri" w:eastAsia="微软雅黑"/>
          <w:color w:val="243444"/>
          <w:sz w:val="21"/>
        </w:rPr>
        <w:t>对收发频率进行实时或分段多普勒修正，提高窄带语音、数据和信标接收稳定性。</w:t>
      </w:r>
    </w:p>
    <w:p w14:paraId="49BD7E7D">
      <w:pPr>
        <w:pStyle w:val="16"/>
      </w:pPr>
      <w:r>
        <w:rPr>
          <w:rFonts w:ascii="Calibri" w:hAnsi="Calibri" w:eastAsia="微软雅黑"/>
          <w:color w:val="243444"/>
          <w:sz w:val="21"/>
        </w:rPr>
        <w:t>支持音频、基带、频谱或解码数据的监视、记录、检索与导出，形成任务证据链。</w:t>
      </w:r>
    </w:p>
    <w:p w14:paraId="28EF4686">
      <w:pPr>
        <w:pStyle w:val="16"/>
      </w:pPr>
      <w:r>
        <w:rPr>
          <w:rFonts w:ascii="Calibri" w:hAnsi="Calibri" w:eastAsia="微软雅黑"/>
          <w:color w:val="243444"/>
          <w:sz w:val="21"/>
        </w:rPr>
        <w:t>建立可操作、可维护、可扩展的软硬件架构，并预留远程运维和协议扩展接口。</w:t>
      </w:r>
    </w:p>
    <w:p w14:paraId="6DBDFB83">
      <w:pPr>
        <w:pStyle w:val="16"/>
      </w:pPr>
      <w:r>
        <w:rPr>
          <w:rFonts w:ascii="Calibri" w:hAnsi="Calibri" w:eastAsia="微软雅黑"/>
          <w:color w:val="243444"/>
          <w:sz w:val="21"/>
        </w:rPr>
        <w:t>通过发射权限、频段白名单、设备联锁和日志审计保证安全合规运行。</w:t>
      </w:r>
    </w:p>
    <w:p w14:paraId="3A1338E1">
      <w:pPr>
        <w:spacing w:after="20"/>
      </w:pPr>
    </w:p>
    <w:p w14:paraId="60A5C75E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2  现场系统与总体方案</w:t>
      </w:r>
    </w:p>
    <w:p w14:paraId="1B1A5062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2.1 现场可见构成</w:t>
      </w:r>
    </w:p>
    <w:p w14:paraId="5B43B362">
      <w:pPr>
        <w:jc w:val="center"/>
      </w:pPr>
      <w:r>
        <w:drawing>
          <wp:inline distT="0" distB="0" distL="114300" distR="114300">
            <wp:extent cx="5806440" cy="3581400"/>
            <wp:effectExtent l="0" t="0" r="10160" b="0"/>
            <wp:docPr id="2" name="Picture 2" descr="双频定向天线、二维跟踪机构、支撑结构、馈线和邻近户外机箱现场照片" title="双频定向天线、二维跟踪机构、支撑结构、馈线和邻近户外机箱现场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双频定向天线、二维跟踪机构、支撑结构、馈线和邻近户外机箱现场照片" title="双频定向天线、二维跟踪机构、支撑结构、馈线和邻近户外机箱现场照片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8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7546">
      <w:pPr>
        <w:spacing w:before="80" w:after="160"/>
        <w:jc w:val="center"/>
      </w:pPr>
      <w:r>
        <w:rPr>
          <w:rFonts w:ascii="Calibri" w:hAnsi="Calibri" w:eastAsia="微软雅黑"/>
          <w:i/>
          <w:color w:val="667788"/>
          <w:sz w:val="17"/>
        </w:rPr>
        <w:t>现场安装形态：双频定向天线、二维跟踪机构、支撑结构、馈线及邻近户外机箱</w:t>
      </w:r>
    </w:p>
    <w:p w14:paraId="324ECBDF">
      <w:pPr>
        <w:ind w:firstLine="420" w:firstLineChars="200"/>
      </w:pPr>
      <w:r>
        <w:rPr>
          <w:rFonts w:ascii="Calibri" w:hAnsi="Calibri" w:eastAsia="微软雅黑"/>
          <w:i w:val="0"/>
          <w:color w:val="243444"/>
          <w:sz w:val="21"/>
        </w:rPr>
        <w:t>系统配置两组不同尺度的定向天线，并由同一方位/俯仰机构</w:t>
      </w:r>
      <w:r>
        <w:rPr>
          <w:rFonts w:hint="eastAsia"/>
          <w:i w:val="0"/>
          <w:color w:val="243444"/>
          <w:sz w:val="21"/>
          <w:lang w:eastAsia="zh-CN"/>
        </w:rPr>
        <w:t>（</w:t>
      </w:r>
      <w:r>
        <w:rPr>
          <w:rFonts w:hint="eastAsia"/>
          <w:i w:val="0"/>
          <w:color w:val="243444"/>
          <w:sz w:val="21"/>
          <w:lang w:val="en-US" w:eastAsia="zh-CN"/>
        </w:rPr>
        <w:t>即天线旋转器</w:t>
      </w:r>
      <w:r>
        <w:rPr>
          <w:rFonts w:hint="eastAsia"/>
          <w:i w:val="0"/>
          <w:color w:val="243444"/>
          <w:sz w:val="21"/>
          <w:lang w:eastAsia="zh-CN"/>
        </w:rPr>
        <w:t>）</w:t>
      </w:r>
      <w:r>
        <w:rPr>
          <w:rFonts w:ascii="Calibri" w:hAnsi="Calibri" w:eastAsia="微软雅黑"/>
          <w:i w:val="0"/>
          <w:color w:val="243444"/>
          <w:sz w:val="21"/>
        </w:rPr>
        <w:t>带动；现场可见支撑立杆、三脚支架、临时压载</w:t>
      </w:r>
      <w:r>
        <w:rPr>
          <w:rFonts w:hint="eastAsia"/>
          <w:i w:val="0"/>
          <w:color w:val="243444"/>
          <w:sz w:val="21"/>
          <w:lang w:val="en-US" w:eastAsia="zh-CN"/>
        </w:rPr>
        <w:t>或固定支撑杆</w:t>
      </w:r>
      <w:r>
        <w:rPr>
          <w:rFonts w:ascii="Calibri" w:hAnsi="Calibri" w:eastAsia="微软雅黑"/>
          <w:i w:val="0"/>
          <w:color w:val="243444"/>
          <w:sz w:val="21"/>
        </w:rPr>
        <w:t>、射频/控制线缆以及邻近户外机箱。</w:t>
      </w:r>
    </w:p>
    <w:tbl>
      <w:tblPr>
        <w:tblStyle w:val="32"/>
        <w:tblW w:w="9360" w:type="dxa"/>
        <w:tblInd w:w="120" w:type="dxa"/>
        <w:tblBorders>
          <w:top w:val="single" w:color="936F18" w:sz="8" w:space="0"/>
          <w:left w:val="single" w:color="936F18" w:sz="8" w:space="0"/>
          <w:bottom w:val="single" w:color="936F18" w:sz="8" w:space="0"/>
          <w:right w:val="single" w:color="936F18" w:sz="8" w:space="0"/>
          <w:insideH w:val="single" w:color="936F18" w:sz="8" w:space="0"/>
          <w:insideV w:val="single" w:color="936F18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00F9836">
        <w:tblPrEx>
          <w:tblBorders>
            <w:top w:val="single" w:color="936F18" w:sz="8" w:space="0"/>
            <w:left w:val="single" w:color="936F18" w:sz="8" w:space="0"/>
            <w:bottom w:val="single" w:color="936F18" w:sz="8" w:space="0"/>
            <w:right w:val="single" w:color="936F18" w:sz="8" w:space="0"/>
            <w:insideH w:val="single" w:color="936F18" w:sz="8" w:space="0"/>
            <w:insideV w:val="single" w:color="936F1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8DEA3">
            <w:pPr>
              <w:spacing w:before="40" w:after="40"/>
            </w:pPr>
            <w:r>
              <w:rPr>
                <w:rFonts w:ascii="Calibri" w:hAnsi="Calibri" w:eastAsia="微软雅黑"/>
                <w:b/>
                <w:color w:val="936F18"/>
                <w:sz w:val="20"/>
              </w:rPr>
              <w:t xml:space="preserve">工程复核建议  </w:t>
            </w:r>
            <w:r>
              <w:rPr>
                <w:rFonts w:ascii="Calibri" w:hAnsi="Calibri" w:eastAsia="微软雅黑"/>
                <w:color w:val="243444"/>
                <w:sz w:val="20"/>
              </w:rPr>
              <w:t>如系统由临时试验转入长期值守，建议对屋面承载、连接紧固、抗风、馈线固定、防水弯、接地与防雷、机箱散热及检修通道进行专项复核。</w:t>
            </w:r>
          </w:p>
        </w:tc>
      </w:tr>
    </w:tbl>
    <w:p w14:paraId="57E0770C">
      <w:pPr>
        <w:spacing w:after="20"/>
      </w:pPr>
    </w:p>
    <w:p w14:paraId="0DC8285C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2.2 总体架构</w:t>
      </w:r>
    </w:p>
    <w:p w14:paraId="2140ED71">
      <w:pPr>
        <w:spacing w:before="60" w:after="40"/>
        <w:jc w:val="center"/>
      </w:pPr>
      <w:r>
        <w:drawing>
          <wp:inline distT="0" distB="0" distL="114300" distR="114300">
            <wp:extent cx="5806440" cy="3225800"/>
            <wp:effectExtent l="0" t="0" r="10160" b="0"/>
            <wp:docPr id="4" name="Picture 4" descr="地面站总体系统架构示意图" title="地面站总体系统架构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地面站总体系统架构示意图" title="地面站总体系统架构示意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5EF6">
      <w:pPr>
        <w:spacing w:before="40" w:after="140"/>
        <w:jc w:val="center"/>
      </w:pPr>
      <w:r>
        <w:rPr>
          <w:rFonts w:ascii="Calibri" w:hAnsi="Calibri" w:eastAsia="微软雅黑"/>
          <w:b w:val="0"/>
          <w:i/>
          <w:color w:val="667788"/>
          <w:sz w:val="17"/>
        </w:rPr>
        <w:t>图 2-3  地面站总体系统架构示意图</w:t>
      </w:r>
    </w:p>
    <w:tbl>
      <w:tblPr>
        <w:tblStyle w:val="32"/>
        <w:tblW w:w="9360" w:type="dxa"/>
        <w:tblInd w:w="120" w:type="dxa"/>
        <w:tblBorders>
          <w:top w:val="single" w:color="CAD6E0" w:sz="6" w:space="0"/>
          <w:left w:val="single" w:color="CAD6E0" w:sz="6" w:space="0"/>
          <w:bottom w:val="single" w:color="CAD6E0" w:sz="6" w:space="0"/>
          <w:right w:val="single" w:color="CAD6E0" w:sz="6" w:space="0"/>
          <w:insideH w:val="single" w:color="CAD6E0" w:sz="6" w:space="0"/>
          <w:insideV w:val="single" w:color="CAD6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300"/>
        <w:gridCol w:w="4560"/>
      </w:tblGrid>
      <w:tr w14:paraId="5E8D69E0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29424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7"/>
              </w:rPr>
              <w:t>层级</w:t>
            </w:r>
          </w:p>
        </w:tc>
        <w:tc>
          <w:tcPr>
            <w:tcW w:w="33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1B058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7"/>
              </w:rPr>
              <w:t>主要模块</w:t>
            </w:r>
          </w:p>
        </w:tc>
        <w:tc>
          <w:tcPr>
            <w:tcW w:w="45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67AB0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7"/>
              </w:rPr>
              <w:t>作用</w:t>
            </w:r>
          </w:p>
        </w:tc>
      </w:tr>
      <w:tr w14:paraId="4EEB457D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vAlign w:val="top"/>
          </w:tcPr>
          <w:p w14:paraId="54CB3CE1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空间目标层</w:t>
            </w:r>
          </w:p>
        </w:tc>
        <w:tc>
          <w:tcPr>
            <w:tcW w:w="3300" w:type="dxa"/>
            <w:vAlign w:val="top"/>
          </w:tcPr>
          <w:p w14:paraId="0DD2CBB6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业余无线电卫星</w:t>
            </w:r>
          </w:p>
        </w:tc>
        <w:tc>
          <w:tcPr>
            <w:tcW w:w="4560" w:type="dxa"/>
            <w:vAlign w:val="top"/>
          </w:tcPr>
          <w:p w14:paraId="77445B32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提供信标、遥测、转发器或数据业务；实际能力按目标卫星公开资料确认。</w:t>
            </w:r>
          </w:p>
        </w:tc>
      </w:tr>
      <w:tr w14:paraId="6CC4C323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AFBFC"/>
            <w:vAlign w:val="top"/>
          </w:tcPr>
          <w:p w14:paraId="2FF3E958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天线与跟踪层</w:t>
            </w:r>
          </w:p>
        </w:tc>
        <w:tc>
          <w:tcPr>
            <w:tcW w:w="3300" w:type="dxa"/>
            <w:shd w:val="clear" w:color="auto" w:fill="FAFBFC"/>
            <w:vAlign w:val="top"/>
          </w:tcPr>
          <w:p w14:paraId="64E87CC3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VHF/UHF 定向天线、方位/俯仰驱动、位置反馈</w:t>
            </w:r>
          </w:p>
        </w:tc>
        <w:tc>
          <w:tcPr>
            <w:tcW w:w="4560" w:type="dxa"/>
            <w:shd w:val="clear" w:color="auto" w:fill="FAFBFC"/>
            <w:vAlign w:val="top"/>
          </w:tcPr>
          <w:p w14:paraId="3874E5CC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形成方向性增益并随卫星过境改变指向。</w:t>
            </w:r>
          </w:p>
        </w:tc>
      </w:tr>
      <w:tr w14:paraId="75D33393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vAlign w:val="top"/>
          </w:tcPr>
          <w:p w14:paraId="422F768F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射频链路层</w:t>
            </w:r>
          </w:p>
        </w:tc>
        <w:tc>
          <w:tcPr>
            <w:tcW w:w="3300" w:type="dxa"/>
            <w:vAlign w:val="top"/>
          </w:tcPr>
          <w:p w14:paraId="1A320325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馈线、滤波/合路、前端保护、低噪声接收、功率控制</w:t>
            </w:r>
          </w:p>
        </w:tc>
        <w:tc>
          <w:tcPr>
            <w:tcW w:w="4560" w:type="dxa"/>
            <w:vAlign w:val="top"/>
          </w:tcPr>
          <w:p w14:paraId="1CD2FA7D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连接天线与收发设备，控制损耗、互扰和过载风险。</w:t>
            </w:r>
          </w:p>
        </w:tc>
      </w:tr>
      <w:tr w14:paraId="5DF67D96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AFBFC"/>
            <w:vAlign w:val="top"/>
          </w:tcPr>
          <w:p w14:paraId="73CF62C7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收发与信号层</w:t>
            </w:r>
          </w:p>
        </w:tc>
        <w:tc>
          <w:tcPr>
            <w:tcW w:w="3300" w:type="dxa"/>
            <w:shd w:val="clear" w:color="auto" w:fill="FAFBFC"/>
            <w:vAlign w:val="top"/>
          </w:tcPr>
          <w:p w14:paraId="0F95FAFA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双频收发、软件定义接收或音频/基带接口</w:t>
            </w:r>
          </w:p>
        </w:tc>
        <w:tc>
          <w:tcPr>
            <w:tcW w:w="4560" w:type="dxa"/>
            <w:shd w:val="clear" w:color="auto" w:fill="FAFBFC"/>
            <w:vAlign w:val="top"/>
          </w:tcPr>
          <w:p w14:paraId="0F6E111B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完成调谐、调制解调、频谱监视和信号输出。</w:t>
            </w:r>
          </w:p>
        </w:tc>
      </w:tr>
      <w:tr w14:paraId="4CAC3106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vAlign w:val="top"/>
          </w:tcPr>
          <w:p w14:paraId="12913491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控制与业务层</w:t>
            </w:r>
          </w:p>
        </w:tc>
        <w:tc>
          <w:tcPr>
            <w:tcW w:w="3300" w:type="dxa"/>
            <w:vAlign w:val="top"/>
          </w:tcPr>
          <w:p w14:paraId="45520ABC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轨道预报、跟踪、多普勒、任务编排、解码与日志</w:t>
            </w:r>
          </w:p>
        </w:tc>
        <w:tc>
          <w:tcPr>
            <w:tcW w:w="4560" w:type="dxa"/>
            <w:vAlign w:val="top"/>
          </w:tcPr>
          <w:p w14:paraId="2F759140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把过境计划转化为可执行任务并保存结果。</w:t>
            </w:r>
          </w:p>
        </w:tc>
      </w:tr>
      <w:tr w14:paraId="1016BDCC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AFBFC"/>
            <w:vAlign w:val="top"/>
          </w:tcPr>
          <w:p w14:paraId="11831337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保障层</w:t>
            </w:r>
          </w:p>
        </w:tc>
        <w:tc>
          <w:tcPr>
            <w:tcW w:w="3300" w:type="dxa"/>
            <w:shd w:val="clear" w:color="auto" w:fill="FAFBFC"/>
            <w:vAlign w:val="top"/>
          </w:tcPr>
          <w:p w14:paraId="2528C9CD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供配电、接地防雷、网络、机柜、监控与备份</w:t>
            </w:r>
          </w:p>
        </w:tc>
        <w:tc>
          <w:tcPr>
            <w:tcW w:w="4560" w:type="dxa"/>
            <w:shd w:val="clear" w:color="auto" w:fill="FAFBFC"/>
            <w:vAlign w:val="top"/>
          </w:tcPr>
          <w:p w14:paraId="4B9E9E8F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保障连续、安全、可维护运行。</w:t>
            </w:r>
          </w:p>
        </w:tc>
      </w:tr>
    </w:tbl>
    <w:p w14:paraId="5ED4075F">
      <w:pPr>
        <w:spacing w:after="20"/>
      </w:pPr>
    </w:p>
    <w:p w14:paraId="3DCF38CC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2.3 信号与控制关系</w:t>
      </w:r>
    </w:p>
    <w:p w14:paraId="23262ADE">
      <w:pPr>
        <w:spacing w:before="60" w:after="40"/>
        <w:jc w:val="center"/>
      </w:pPr>
      <w:r>
        <w:drawing>
          <wp:inline distT="0" distB="0" distL="114300" distR="114300">
            <wp:extent cx="5806440" cy="3225800"/>
            <wp:effectExtent l="0" t="0" r="10160" b="0"/>
            <wp:docPr id="5" name="Picture 5" descr="UV地面站射频接收和受控发射链路示意图" title="UV地面站射频接收和受控发射链路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UV地面站射频接收和受控发射链路示意图" title="UV地面站射频接收和受控发射链路示意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45E2">
      <w:pPr>
        <w:spacing w:before="40" w:after="140"/>
        <w:jc w:val="center"/>
      </w:pPr>
      <w:r>
        <w:rPr>
          <w:rFonts w:ascii="Calibri" w:hAnsi="Calibri" w:eastAsia="微软雅黑"/>
          <w:b w:val="0"/>
          <w:i/>
          <w:color w:val="667788"/>
          <w:sz w:val="17"/>
        </w:rPr>
        <w:t>图 2-4  射频接收与受控发射链路示意图</w:t>
      </w:r>
    </w:p>
    <w:p w14:paraId="2AEFC555">
      <w:pPr>
        <w:spacing w:after="100"/>
        <w:ind w:left="230" w:hanging="230"/>
      </w:pPr>
      <w:r>
        <w:rPr>
          <w:rFonts w:ascii="Calibri" w:hAnsi="Calibri" w:eastAsia="微软雅黑"/>
          <w:b/>
          <w:color w:val="2E74B5"/>
          <w:sz w:val="21"/>
        </w:rPr>
        <w:t xml:space="preserve">01  轨道计算  </w:t>
      </w:r>
      <w:r>
        <w:rPr>
          <w:rFonts w:ascii="Calibri" w:hAnsi="Calibri" w:eastAsia="微软雅黑"/>
          <w:color w:val="243444"/>
          <w:sz w:val="21"/>
        </w:rPr>
        <w:t>业务主机读取站点坐标和最新轨道根数，生成可见窗口、方位、仰角和速度信息。</w:t>
      </w:r>
    </w:p>
    <w:p w14:paraId="7C95B02B">
      <w:pPr>
        <w:spacing w:after="100"/>
        <w:ind w:left="230" w:hanging="230"/>
      </w:pPr>
      <w:r>
        <w:rPr>
          <w:rFonts w:ascii="Calibri" w:hAnsi="Calibri" w:eastAsia="微软雅黑"/>
          <w:b/>
          <w:color w:val="2E74B5"/>
          <w:sz w:val="21"/>
        </w:rPr>
        <w:t xml:space="preserve">02  跟踪控制  </w:t>
      </w:r>
      <w:r>
        <w:rPr>
          <w:rFonts w:ascii="Calibri" w:hAnsi="Calibri" w:eastAsia="微软雅黑"/>
          <w:color w:val="243444"/>
          <w:sz w:val="21"/>
        </w:rPr>
        <w:t>控制软件把目标角度发送给转台控制单元，位置反馈用于限位、误差判断和状态显示。</w:t>
      </w:r>
    </w:p>
    <w:p w14:paraId="3BCA8B5D">
      <w:pPr>
        <w:spacing w:after="100"/>
        <w:ind w:left="230" w:hanging="230"/>
      </w:pPr>
      <w:r>
        <w:rPr>
          <w:rFonts w:ascii="Calibri" w:hAnsi="Calibri" w:eastAsia="微软雅黑"/>
          <w:b/>
          <w:color w:val="2E74B5"/>
          <w:sz w:val="21"/>
        </w:rPr>
        <w:t xml:space="preserve">03  射频接收  </w:t>
      </w:r>
      <w:r>
        <w:rPr>
          <w:rFonts w:ascii="Calibri" w:hAnsi="Calibri" w:eastAsia="微软雅黑"/>
          <w:color w:val="243444"/>
          <w:sz w:val="21"/>
        </w:rPr>
        <w:t>卫星下行经天线、馈线和接收前端进入收发/信号处理设备。</w:t>
      </w:r>
    </w:p>
    <w:p w14:paraId="5863C304">
      <w:pPr>
        <w:spacing w:after="100"/>
        <w:ind w:left="230" w:hanging="230"/>
      </w:pPr>
      <w:r>
        <w:rPr>
          <w:rFonts w:ascii="Calibri" w:hAnsi="Calibri" w:eastAsia="微软雅黑"/>
          <w:b/>
          <w:color w:val="2E74B5"/>
          <w:sz w:val="21"/>
        </w:rPr>
        <w:t xml:space="preserve">04  多普勒补偿  </w:t>
      </w:r>
      <w:r>
        <w:rPr>
          <w:rFonts w:ascii="Calibri" w:hAnsi="Calibri" w:eastAsia="微软雅黑"/>
          <w:color w:val="243444"/>
          <w:sz w:val="21"/>
        </w:rPr>
        <w:t>软件按相对径向速度更新接收频率；需要发射时对上行频率同步修正。</w:t>
      </w:r>
    </w:p>
    <w:p w14:paraId="46660E41">
      <w:pPr>
        <w:spacing w:after="100"/>
        <w:ind w:left="230" w:hanging="230"/>
      </w:pPr>
      <w:r>
        <w:rPr>
          <w:rFonts w:ascii="Calibri" w:hAnsi="Calibri" w:eastAsia="微软雅黑"/>
          <w:b/>
          <w:color w:val="2E74B5"/>
          <w:sz w:val="21"/>
        </w:rPr>
        <w:t xml:space="preserve">05  业务处理  </w:t>
      </w:r>
      <w:r>
        <w:rPr>
          <w:rFonts w:ascii="Calibri" w:hAnsi="Calibri" w:eastAsia="微软雅黑"/>
          <w:color w:val="243444"/>
          <w:sz w:val="21"/>
        </w:rPr>
        <w:t>音频、频谱、基带或解码数据进入业务软件，叠加时间、目标和设备状态后存档。</w:t>
      </w:r>
    </w:p>
    <w:p w14:paraId="3286E0ED">
      <w:pPr>
        <w:spacing w:after="100"/>
        <w:ind w:left="230" w:hanging="230"/>
        <w:rPr>
          <w:rFonts w:ascii="Calibri" w:hAnsi="Calibri" w:eastAsia="微软雅黑"/>
          <w:color w:val="243444"/>
          <w:sz w:val="21"/>
        </w:rPr>
      </w:pPr>
      <w:r>
        <w:rPr>
          <w:rFonts w:ascii="Calibri" w:hAnsi="Calibri" w:eastAsia="微软雅黑"/>
          <w:b/>
          <w:color w:val="2E74B5"/>
          <w:sz w:val="21"/>
        </w:rPr>
        <w:t xml:space="preserve">06  结果输出  </w:t>
      </w:r>
      <w:r>
        <w:rPr>
          <w:rFonts w:ascii="Calibri" w:hAnsi="Calibri" w:eastAsia="微软雅黑"/>
          <w:color w:val="243444"/>
          <w:sz w:val="21"/>
        </w:rPr>
        <w:t>生成任务日志、录音/频谱文件、解码报文、状态记录和可选统计报表。</w:t>
      </w:r>
    </w:p>
    <w:p w14:paraId="73F75593">
      <w:pPr>
        <w:spacing w:after="100"/>
        <w:ind w:left="230" w:hanging="230"/>
        <w:rPr>
          <w:rFonts w:ascii="Calibri" w:hAnsi="Calibri" w:eastAsia="微软雅黑"/>
          <w:color w:val="243444"/>
          <w:sz w:val="21"/>
        </w:rPr>
      </w:pPr>
    </w:p>
    <w:p w14:paraId="4463B290">
      <w:pPr>
        <w:pStyle w:val="3"/>
        <w:rPr>
          <w:rFonts w:ascii="Calibri" w:hAnsi="Calibri" w:eastAsia="微软雅黑"/>
          <w:b/>
          <w:color w:val="2E74B5"/>
          <w:sz w:val="32"/>
        </w:rPr>
      </w:pPr>
      <w:r>
        <w:rPr>
          <w:rFonts w:ascii="Calibri" w:hAnsi="Calibri" w:eastAsia="微软雅黑"/>
          <w:b/>
          <w:color w:val="2E74B5"/>
          <w:sz w:val="32"/>
        </w:rPr>
        <w:t>3  系统组成及接口说明</w:t>
      </w:r>
    </w:p>
    <w:p w14:paraId="6DBB4F46">
      <w:pPr>
        <w:pStyle w:val="3"/>
      </w:pPr>
      <w:r>
        <w:rPr>
          <w:rFonts w:ascii="Calibri" w:hAnsi="Calibri" w:eastAsia="微软雅黑"/>
          <w:b/>
          <w:i w:val="0"/>
          <w:color w:val="2E74B5"/>
          <w:sz w:val="26"/>
        </w:rPr>
        <w:t>3.1 射频链路模块典型外观</w:t>
      </w:r>
    </w:p>
    <w:tbl>
      <w:tblPr>
        <w:tblStyle w:val="32"/>
        <w:tblW w:w="0" w:type="auto"/>
        <w:jc w:val="center"/>
        <w:tblBorders>
          <w:top w:val="single" w:color="CBD6DF" w:sz="6" w:space="0"/>
          <w:left w:val="single" w:color="CBD6DF" w:sz="6" w:space="0"/>
          <w:bottom w:val="single" w:color="CBD6DF" w:sz="6" w:space="0"/>
          <w:right w:val="single" w:color="CBD6DF" w:sz="6" w:space="0"/>
          <w:insideH w:val="single" w:color="CBD6DF" w:sz="6" w:space="0"/>
          <w:insideV w:val="single" w:color="CBD6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53"/>
        <w:gridCol w:w="4853"/>
      </w:tblGrid>
      <w:tr w14:paraId="4C0FF2F6">
        <w:tblPrEx>
          <w:tblBorders>
            <w:top w:val="single" w:color="CBD6DF" w:sz="6" w:space="0"/>
            <w:left w:val="single" w:color="CBD6DF" w:sz="6" w:space="0"/>
            <w:bottom w:val="single" w:color="CBD6DF" w:sz="6" w:space="0"/>
            <w:right w:val="single" w:color="CBD6DF" w:sz="6" w:space="0"/>
            <w:insideH w:val="single" w:color="CBD6DF" w:sz="6" w:space="0"/>
            <w:insideV w:val="single" w:color="CBD6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4C765E57">
            <w:pPr>
              <w:spacing w:after="20"/>
              <w:jc w:val="center"/>
            </w:pPr>
            <w:r>
              <w:drawing>
                <wp:inline distT="0" distB="0" distL="114300" distR="114300">
                  <wp:extent cx="2057400" cy="1371600"/>
                  <wp:effectExtent l="0" t="0" r="0" b="0"/>
                  <wp:docPr id="6" name="Picture 6" descr="合路器/分路器典型外观示意" title="合路器/分路器典型外观示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合路器/分路器典型外观示意" title="合路器/分路器典型外观示意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84E9E8"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8"/>
              </w:rPr>
              <w:t>合路器/分路器</w:t>
            </w:r>
          </w:p>
          <w:p w14:paraId="4404C6C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243444"/>
                <w:sz w:val="15"/>
              </w:rPr>
              <w:t>按频段合并或分离射频通道。</w:t>
            </w:r>
          </w:p>
        </w:tc>
        <w:tc>
          <w:tcPr>
            <w:tcW w:w="48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454FDCFE">
            <w:pPr>
              <w:spacing w:after="20"/>
              <w:jc w:val="center"/>
            </w:pPr>
            <w:r>
              <w:drawing>
                <wp:inline distT="0" distB="0" distL="114300" distR="114300">
                  <wp:extent cx="2057400" cy="1371600"/>
                  <wp:effectExtent l="0" t="0" r="0" b="0"/>
                  <wp:docPr id="7" name="Picture 7" descr="低噪声放大器（LNA）典型外观示意" title="低噪声放大器（LNA）典型外观示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低噪声放大器（LNA）典型外观示意" title="低噪声放大器（LNA）典型外观示意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FAA87B"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8"/>
              </w:rPr>
              <w:t>低噪声放大器（LNA）</w:t>
            </w:r>
          </w:p>
          <w:p w14:paraId="253429E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243444"/>
                <w:sz w:val="15"/>
              </w:rPr>
              <w:t>提升弱信号，关注噪声、增益和过载。</w:t>
            </w:r>
          </w:p>
        </w:tc>
      </w:tr>
      <w:tr w14:paraId="0B4D1D18">
        <w:tblPrEx>
          <w:tblBorders>
            <w:top w:val="single" w:color="CBD6DF" w:sz="6" w:space="0"/>
            <w:left w:val="single" w:color="CBD6DF" w:sz="6" w:space="0"/>
            <w:bottom w:val="single" w:color="CBD6DF" w:sz="6" w:space="0"/>
            <w:right w:val="single" w:color="CBD6DF" w:sz="6" w:space="0"/>
            <w:insideH w:val="single" w:color="CBD6DF" w:sz="6" w:space="0"/>
            <w:insideV w:val="single" w:color="CBD6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78CD51C2">
            <w:pPr>
              <w:spacing w:after="20"/>
              <w:jc w:val="center"/>
            </w:pPr>
            <w:r>
              <w:drawing>
                <wp:inline distT="0" distB="0" distL="114300" distR="114300">
                  <wp:extent cx="2057400" cy="1371600"/>
                  <wp:effectExtent l="0" t="0" r="0" b="0"/>
                  <wp:docPr id="8" name="Picture 8" descr="功率放大器（PA）典型外观示意" title="功率放大器（PA）典型外观示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功率放大器（PA）典型外观示意" title="功率放大器（PA）典型外观示意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5C1FA9"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8"/>
              </w:rPr>
              <w:t>功率放大器（PA）</w:t>
            </w:r>
          </w:p>
          <w:p w14:paraId="2216FF7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243444"/>
                <w:sz w:val="15"/>
              </w:rPr>
              <w:t>受控放大发射激励并配合散热与联锁。</w:t>
            </w:r>
          </w:p>
        </w:tc>
        <w:tc>
          <w:tcPr>
            <w:tcW w:w="48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3F5ECCF4">
            <w:pPr>
              <w:spacing w:after="20"/>
              <w:jc w:val="center"/>
            </w:pPr>
            <w:r>
              <w:drawing>
                <wp:inline distT="0" distB="0" distL="114300" distR="114300">
                  <wp:extent cx="2057400" cy="1371600"/>
                  <wp:effectExtent l="0" t="0" r="0" b="0"/>
                  <wp:docPr id="9" name="Picture 9" descr="射频滤波器典型外观示意" title="射频滤波器典型外观示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射频滤波器典型外观示意" title="射频滤波器典型外观示意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9D36C"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8"/>
              </w:rPr>
              <w:t>射频滤波器</w:t>
            </w:r>
          </w:p>
          <w:p w14:paraId="1057005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243444"/>
                <w:sz w:val="15"/>
              </w:rPr>
              <w:t>抑制带外干扰、谐波和共址信号。</w:t>
            </w:r>
          </w:p>
        </w:tc>
      </w:tr>
      <w:tr w14:paraId="1711BAE6">
        <w:tblPrEx>
          <w:tblBorders>
            <w:top w:val="single" w:color="CBD6DF" w:sz="6" w:space="0"/>
            <w:left w:val="single" w:color="CBD6DF" w:sz="6" w:space="0"/>
            <w:bottom w:val="single" w:color="CBD6DF" w:sz="6" w:space="0"/>
            <w:right w:val="single" w:color="CBD6DF" w:sz="6" w:space="0"/>
            <w:insideH w:val="single" w:color="CBD6DF" w:sz="6" w:space="0"/>
            <w:insideV w:val="single" w:color="CBD6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23E7F78B">
            <w:pPr>
              <w:spacing w:after="20"/>
              <w:jc w:val="center"/>
            </w:pPr>
            <w:r>
              <w:drawing>
                <wp:inline distT="0" distB="0" distL="114300" distR="114300">
                  <wp:extent cx="2057400" cy="1371600"/>
                  <wp:effectExtent l="0" t="0" r="0" b="0"/>
                  <wp:docPr id="10" name="Picture 10" descr="射频同轴线缆与接头典型外观示意" title="射频同轴线缆与接头典型外观示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射频同轴线缆与接头典型外观示意" title="射频同轴线缆与接头典型外观示意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BF505"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8"/>
              </w:rPr>
              <w:t>射频同轴线缆与接头</w:t>
            </w:r>
          </w:p>
          <w:p w14:paraId="38E03AA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243444"/>
                <w:sz w:val="15"/>
              </w:rPr>
              <w:t>按频段、长度和损耗统一核算。</w:t>
            </w:r>
          </w:p>
        </w:tc>
        <w:tc>
          <w:tcPr>
            <w:tcW w:w="48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6E984709">
            <w:pPr>
              <w:spacing w:after="20"/>
              <w:jc w:val="center"/>
            </w:pPr>
            <w:r>
              <w:drawing>
                <wp:inline distT="0" distB="0" distL="114300" distR="114300">
                  <wp:extent cx="2057400" cy="1371600"/>
                  <wp:effectExtent l="0" t="0" r="0" b="0"/>
                  <wp:docPr id="11" name="Picture 11" descr="馈线浪涌保护器典型外观示意" title="馈线浪涌保护器典型外观示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馈线浪涌保护器典型外观示意" title="馈线浪涌保护器典型外观示意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CCA1D"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8"/>
              </w:rPr>
              <w:t>馈线浪涌保护器</w:t>
            </w:r>
          </w:p>
          <w:p w14:paraId="7371654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243444"/>
                <w:sz w:val="15"/>
              </w:rPr>
              <w:t>馈线入室处泄放浪涌并可靠接地。</w:t>
            </w:r>
          </w:p>
        </w:tc>
      </w:tr>
    </w:tbl>
    <w:p w14:paraId="0C1621AB">
      <w:pPr>
        <w:pStyle w:val="4"/>
        <w:pageBreakBefore/>
      </w:pPr>
      <w:r>
        <w:rPr>
          <w:rFonts w:ascii="Calibri" w:hAnsi="Calibri" w:eastAsia="微软雅黑"/>
          <w:b/>
          <w:i w:val="0"/>
          <w:color w:val="2E74B5"/>
          <w:sz w:val="26"/>
        </w:rPr>
        <w:t>3.2 收发与控制模块典型外观</w:t>
      </w:r>
    </w:p>
    <w:tbl>
      <w:tblPr>
        <w:tblStyle w:val="32"/>
        <w:tblW w:w="0" w:type="auto"/>
        <w:jc w:val="center"/>
        <w:tblBorders>
          <w:top w:val="single" w:color="CBD6DF" w:sz="6" w:space="0"/>
          <w:left w:val="single" w:color="CBD6DF" w:sz="6" w:space="0"/>
          <w:bottom w:val="single" w:color="CBD6DF" w:sz="6" w:space="0"/>
          <w:right w:val="single" w:color="CBD6DF" w:sz="6" w:space="0"/>
          <w:insideH w:val="single" w:color="CBD6DF" w:sz="6" w:space="0"/>
          <w:insideV w:val="single" w:color="CBD6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"/>
        <w:gridCol w:w="1900"/>
        <w:gridCol w:w="2843"/>
        <w:gridCol w:w="2457"/>
        <w:gridCol w:w="2160"/>
        <w:gridCol w:w="236"/>
      </w:tblGrid>
      <w:tr w14:paraId="0B153641">
        <w:tblPrEx>
          <w:tblBorders>
            <w:top w:val="single" w:color="CBD6DF" w:sz="6" w:space="0"/>
            <w:left w:val="single" w:color="CBD6DF" w:sz="6" w:space="0"/>
            <w:bottom w:val="single" w:color="CBD6DF" w:sz="6" w:space="0"/>
            <w:right w:val="single" w:color="CBD6DF" w:sz="6" w:space="0"/>
            <w:insideH w:val="single" w:color="CBD6DF" w:sz="6" w:space="0"/>
            <w:insideV w:val="single" w:color="CBD6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53" w:type="dxa"/>
            <w:gridSpan w:val="3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241D556F">
            <w:pPr>
              <w:spacing w:after="20"/>
              <w:jc w:val="center"/>
            </w:pPr>
            <w:r>
              <w:drawing>
                <wp:inline distT="0" distB="0" distL="114300" distR="114300">
                  <wp:extent cx="2057400" cy="1371600"/>
                  <wp:effectExtent l="0" t="0" r="0" b="0"/>
                  <wp:docPr id="12" name="Picture 6" descr="双频收发电台典型外观示意" title="双频收发电台典型外观示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6" descr="双频收发电台典型外观示意" title="双频收发电台典型外观示意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E149E"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8"/>
              </w:rPr>
              <w:t>双频收发电台</w:t>
            </w:r>
          </w:p>
          <w:p w14:paraId="356C5D6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243444"/>
                <w:sz w:val="15"/>
              </w:rPr>
              <w:t>完成调谐、调制解调和受控收发。</w:t>
            </w:r>
          </w:p>
        </w:tc>
        <w:tc>
          <w:tcPr>
            <w:tcW w:w="4853" w:type="dxa"/>
            <w:gridSpan w:val="3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54EF543F">
            <w:pPr>
              <w:spacing w:after="20"/>
              <w:jc w:val="center"/>
            </w:pPr>
            <w:r>
              <w:drawing>
                <wp:inline distT="0" distB="0" distL="114300" distR="114300">
                  <wp:extent cx="2057400" cy="1371600"/>
                  <wp:effectExtent l="0" t="0" r="0" b="0"/>
                  <wp:docPr id="13" name="Picture 7" descr="业务控制电脑典型外观示意" title="业务控制电脑典型外观示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7" descr="业务控制电脑典型外观示意" title="业务控制电脑典型外观示意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E17862"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8"/>
              </w:rPr>
              <w:t>业务控制电脑</w:t>
            </w:r>
          </w:p>
          <w:p w14:paraId="0967D45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243444"/>
                <w:sz w:val="15"/>
              </w:rPr>
              <w:t>运行轨道、跟踪、多普勒和数据软件。</w:t>
            </w:r>
          </w:p>
        </w:tc>
      </w:tr>
      <w:tr w14:paraId="13AF1E29">
        <w:tblPrEx>
          <w:tblBorders>
            <w:top w:val="single" w:color="CBD6DF" w:sz="6" w:space="0"/>
            <w:left w:val="single" w:color="CBD6DF" w:sz="6" w:space="0"/>
            <w:bottom w:val="single" w:color="CBD6DF" w:sz="6" w:space="0"/>
            <w:right w:val="single" w:color="CBD6DF" w:sz="6" w:space="0"/>
            <w:insideH w:val="single" w:color="CBD6DF" w:sz="6" w:space="0"/>
            <w:insideV w:val="single" w:color="CBD6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53" w:type="dxa"/>
            <w:gridSpan w:val="3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06D7088B">
            <w:pPr>
              <w:spacing w:after="20"/>
              <w:jc w:val="center"/>
            </w:pPr>
            <w:r>
              <w:drawing>
                <wp:inline distT="0" distB="0" distL="114300" distR="114300">
                  <wp:extent cx="2057400" cy="1371600"/>
                  <wp:effectExtent l="0" t="0" r="0" b="0"/>
                  <wp:docPr id="14" name="Picture 8" descr="旋转器控制器典型外观示意" title="旋转器控制器典型外观示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8" descr="旋转器控制器典型外观示意" title="旋转器控制器典型外观示意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C5A622"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8"/>
              </w:rPr>
              <w:t>旋转器控制器</w:t>
            </w:r>
          </w:p>
          <w:p w14:paraId="531F4B5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243444"/>
                <w:sz w:val="15"/>
              </w:rPr>
              <w:t>执行角度指令并返回位置与限位。</w:t>
            </w:r>
          </w:p>
        </w:tc>
        <w:tc>
          <w:tcPr>
            <w:tcW w:w="4853" w:type="dxa"/>
            <w:gridSpan w:val="3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438E3C0D">
            <w:pPr>
              <w:spacing w:after="20"/>
              <w:jc w:val="center"/>
            </w:pPr>
            <w:r>
              <w:drawing>
                <wp:inline distT="0" distB="0" distL="114300" distR="114300">
                  <wp:extent cx="2057400" cy="1371600"/>
                  <wp:effectExtent l="0" t="0" r="0" b="0"/>
                  <wp:docPr id="15" name="Picture 9" descr="控制与供电线缆典型外观示意" title="控制与供电线缆典型外观示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9" descr="控制与供电线缆典型外观示意" title="控制与供电线缆典型外观示意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5931CF"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8"/>
              </w:rPr>
              <w:t>控制与供电线缆</w:t>
            </w:r>
          </w:p>
          <w:p w14:paraId="41D1A13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243444"/>
                <w:sz w:val="15"/>
              </w:rPr>
              <w:t>承载驱动、反馈、控制和供电信号。</w:t>
            </w:r>
          </w:p>
        </w:tc>
      </w:tr>
      <w:tr w14:paraId="021C0B40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  <w:tblHeader/>
        </w:trPr>
        <w:tc>
          <w:tcPr>
            <w:tcW w:w="19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CB875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6"/>
              </w:rPr>
              <w:t>组成</w:t>
            </w:r>
          </w:p>
        </w:tc>
        <w:tc>
          <w:tcPr>
            <w:tcW w:w="5300" w:type="dxa"/>
            <w:gridSpan w:val="2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67FDA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6"/>
              </w:rPr>
              <w:t>功能说明</w:t>
            </w:r>
          </w:p>
        </w:tc>
        <w:tc>
          <w:tcPr>
            <w:tcW w:w="21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A7827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6"/>
              </w:rPr>
              <w:t>主要接口</w:t>
            </w:r>
          </w:p>
        </w:tc>
      </w:tr>
      <w:tr w14:paraId="2D17E447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vAlign w:val="top"/>
          </w:tcPr>
          <w:p w14:paraId="519C8CDC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双频定向天线</w:t>
            </w:r>
          </w:p>
        </w:tc>
        <w:tc>
          <w:tcPr>
            <w:tcW w:w="5300" w:type="dxa"/>
            <w:gridSpan w:val="2"/>
            <w:vAlign w:val="top"/>
          </w:tcPr>
          <w:p w14:paraId="351F7AA7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分别覆盖 VHF 与 UHF 业务频段；按链路预算确定单元数、极化方式和安装间距。</w:t>
            </w:r>
          </w:p>
        </w:tc>
        <w:tc>
          <w:tcPr>
            <w:tcW w:w="2160" w:type="dxa"/>
            <w:vAlign w:val="top"/>
          </w:tcPr>
          <w:p w14:paraId="0B29D1AF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射频接口、机械安装面</w:t>
            </w:r>
          </w:p>
        </w:tc>
      </w:tr>
      <w:tr w14:paraId="258FB5BB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AFBFC"/>
            <w:vAlign w:val="top"/>
          </w:tcPr>
          <w:p w14:paraId="2D9C7ECD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方位/俯仰跟踪机构</w:t>
            </w:r>
          </w:p>
        </w:tc>
        <w:tc>
          <w:tcPr>
            <w:tcW w:w="5300" w:type="dxa"/>
            <w:gridSpan w:val="2"/>
            <w:shd w:val="clear" w:color="auto" w:fill="FAFBFC"/>
            <w:vAlign w:val="top"/>
          </w:tcPr>
          <w:p w14:paraId="637FCC6E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提供二维转动、角度反馈、原点/限位与人工控制；应满足天线负载及安全裕量。</w:t>
            </w:r>
          </w:p>
        </w:tc>
        <w:tc>
          <w:tcPr>
            <w:tcW w:w="2160" w:type="dxa"/>
            <w:shd w:val="clear" w:color="auto" w:fill="FAFBFC"/>
            <w:vAlign w:val="top"/>
          </w:tcPr>
          <w:p w14:paraId="7CD5BDD2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控制/反馈接口、电源</w:t>
            </w:r>
          </w:p>
        </w:tc>
      </w:tr>
      <w:tr w14:paraId="32C1968F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vAlign w:val="top"/>
          </w:tcPr>
          <w:p w14:paraId="2613D8E4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天线支撑与基础</w:t>
            </w:r>
          </w:p>
        </w:tc>
        <w:tc>
          <w:tcPr>
            <w:tcW w:w="5300" w:type="dxa"/>
            <w:gridSpan w:val="2"/>
            <w:vAlign w:val="top"/>
          </w:tcPr>
          <w:p w14:paraId="5C69D3D9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完成载荷传递、结构固定和检修空间布置；长期使用需完成抗风与屋面条件复核。</w:t>
            </w:r>
          </w:p>
        </w:tc>
        <w:tc>
          <w:tcPr>
            <w:tcW w:w="2160" w:type="dxa"/>
            <w:vAlign w:val="top"/>
          </w:tcPr>
          <w:p w14:paraId="5229872E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机械连接、接地连接</w:t>
            </w:r>
          </w:p>
        </w:tc>
      </w:tr>
      <w:tr w14:paraId="78256FDE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AFBFC"/>
            <w:vAlign w:val="top"/>
          </w:tcPr>
          <w:p w14:paraId="6E5405F9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射频馈线与接头</w:t>
            </w:r>
          </w:p>
        </w:tc>
        <w:tc>
          <w:tcPr>
            <w:tcW w:w="5300" w:type="dxa"/>
            <w:gridSpan w:val="2"/>
            <w:shd w:val="clear" w:color="auto" w:fill="FAFBFC"/>
            <w:vAlign w:val="top"/>
          </w:tcPr>
          <w:p w14:paraId="36D643AD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连接天线与室内/户外射频单元，兼顾衰减、屏蔽、防水和弯曲半径。</w:t>
            </w:r>
          </w:p>
        </w:tc>
        <w:tc>
          <w:tcPr>
            <w:tcW w:w="2160" w:type="dxa"/>
            <w:shd w:val="clear" w:color="auto" w:fill="FAFBFC"/>
            <w:vAlign w:val="top"/>
          </w:tcPr>
          <w:p w14:paraId="0E7C2B0F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标准射频接口</w:t>
            </w:r>
          </w:p>
        </w:tc>
      </w:tr>
      <w:tr w14:paraId="08248E82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vAlign w:val="top"/>
          </w:tcPr>
          <w:p w14:paraId="72F5AA37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接收前端与滤波</w:t>
            </w:r>
          </w:p>
        </w:tc>
        <w:tc>
          <w:tcPr>
            <w:tcW w:w="5300" w:type="dxa"/>
            <w:gridSpan w:val="2"/>
            <w:vAlign w:val="top"/>
          </w:tcPr>
          <w:p w14:paraId="570B05D8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可配置低噪声放大、带通/陷波、合路/分路和过载保护，改善弱信号接收与共址抗扰。</w:t>
            </w:r>
          </w:p>
        </w:tc>
        <w:tc>
          <w:tcPr>
            <w:tcW w:w="2160" w:type="dxa"/>
            <w:vAlign w:val="top"/>
          </w:tcPr>
          <w:p w14:paraId="293CFCB1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射频输入/输出、偏置供电</w:t>
            </w:r>
          </w:p>
        </w:tc>
      </w:tr>
      <w:tr w14:paraId="1F768424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AFBFC"/>
            <w:vAlign w:val="top"/>
          </w:tcPr>
          <w:p w14:paraId="01DD00D1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双频收发单元</w:t>
            </w:r>
          </w:p>
        </w:tc>
        <w:tc>
          <w:tcPr>
            <w:tcW w:w="5300" w:type="dxa"/>
            <w:gridSpan w:val="2"/>
            <w:shd w:val="clear" w:color="auto" w:fill="FAFBFC"/>
            <w:vAlign w:val="top"/>
          </w:tcPr>
          <w:p w14:paraId="019AF48E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完成语音或数据业务的调谐和收发；发射必须受权限、功率和频段策略约束。</w:t>
            </w:r>
          </w:p>
        </w:tc>
        <w:tc>
          <w:tcPr>
            <w:tcW w:w="2160" w:type="dxa"/>
            <w:shd w:val="clear" w:color="auto" w:fill="FAFBFC"/>
            <w:vAlign w:val="top"/>
          </w:tcPr>
          <w:p w14:paraId="15F6B081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射频、音频/数据、控制</w:t>
            </w:r>
          </w:p>
        </w:tc>
      </w:tr>
      <w:tr w14:paraId="2BABEE2C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vAlign w:val="top"/>
          </w:tcPr>
          <w:p w14:paraId="453B68ED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频谱/基带处理单元</w:t>
            </w:r>
          </w:p>
        </w:tc>
        <w:tc>
          <w:tcPr>
            <w:tcW w:w="5300" w:type="dxa"/>
            <w:gridSpan w:val="2"/>
            <w:vAlign w:val="top"/>
          </w:tcPr>
          <w:p w14:paraId="467F745C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可用于宽带频谱观察、IQ 采样、协议解调和事后分析。</w:t>
            </w:r>
          </w:p>
        </w:tc>
        <w:tc>
          <w:tcPr>
            <w:tcW w:w="2160" w:type="dxa"/>
            <w:vAlign w:val="top"/>
          </w:tcPr>
          <w:p w14:paraId="11A5D544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射频或中频、USB/网络</w:t>
            </w:r>
          </w:p>
        </w:tc>
      </w:tr>
      <w:tr w14:paraId="3841D7C3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AFBFC"/>
            <w:vAlign w:val="top"/>
          </w:tcPr>
          <w:p w14:paraId="473784D3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转台控制单元</w:t>
            </w:r>
          </w:p>
        </w:tc>
        <w:tc>
          <w:tcPr>
            <w:tcW w:w="5300" w:type="dxa"/>
            <w:gridSpan w:val="2"/>
            <w:shd w:val="clear" w:color="auto" w:fill="FAFBFC"/>
            <w:vAlign w:val="top"/>
          </w:tcPr>
          <w:p w14:paraId="5F6360F9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接收目标角度，执行驱动并返回位置、限位和故障状态。</w:t>
            </w:r>
          </w:p>
        </w:tc>
        <w:tc>
          <w:tcPr>
            <w:tcW w:w="2160" w:type="dxa"/>
            <w:shd w:val="clear" w:color="auto" w:fill="FAFBFC"/>
            <w:vAlign w:val="top"/>
          </w:tcPr>
          <w:p w14:paraId="009D9D01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串行/网络、驱动、电源</w:t>
            </w:r>
          </w:p>
        </w:tc>
      </w:tr>
      <w:tr w14:paraId="6B550E19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vAlign w:val="top"/>
          </w:tcPr>
          <w:p w14:paraId="516A504E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业务控制主机</w:t>
            </w:r>
          </w:p>
        </w:tc>
        <w:tc>
          <w:tcPr>
            <w:tcW w:w="5300" w:type="dxa"/>
            <w:gridSpan w:val="2"/>
            <w:vAlign w:val="top"/>
          </w:tcPr>
          <w:p w14:paraId="3D5546D8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运行轨道预报、自动跟踪、多普勒、解码、录制、任务管理和报表功能。</w:t>
            </w:r>
          </w:p>
        </w:tc>
        <w:tc>
          <w:tcPr>
            <w:tcW w:w="2160" w:type="dxa"/>
            <w:vAlign w:val="top"/>
          </w:tcPr>
          <w:p w14:paraId="1E9BE6A9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网络、串行、USB、音频</w:t>
            </w:r>
          </w:p>
        </w:tc>
      </w:tr>
      <w:tr w14:paraId="540FB5B9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AFBFC"/>
            <w:vAlign w:val="top"/>
          </w:tcPr>
          <w:p w14:paraId="6BA02B1F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供配电与防护</w:t>
            </w:r>
          </w:p>
        </w:tc>
        <w:tc>
          <w:tcPr>
            <w:tcW w:w="5300" w:type="dxa"/>
            <w:gridSpan w:val="2"/>
            <w:shd w:val="clear" w:color="auto" w:fill="FAFBFC"/>
            <w:vAlign w:val="top"/>
          </w:tcPr>
          <w:p w14:paraId="4CCF8104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为各模块分路供电，配置保护、浪涌抑制、接地和应急断电。</w:t>
            </w:r>
          </w:p>
        </w:tc>
        <w:tc>
          <w:tcPr>
            <w:tcW w:w="2160" w:type="dxa"/>
            <w:shd w:val="clear" w:color="auto" w:fill="FAFBFC"/>
            <w:vAlign w:val="top"/>
          </w:tcPr>
          <w:p w14:paraId="42A94C54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交流/直流电源、保护地</w:t>
            </w:r>
          </w:p>
        </w:tc>
      </w:tr>
      <w:tr w14:paraId="4E720585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vAlign w:val="top"/>
          </w:tcPr>
          <w:p w14:paraId="7FFBC136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网络与时钟</w:t>
            </w:r>
          </w:p>
        </w:tc>
        <w:tc>
          <w:tcPr>
            <w:tcW w:w="5300" w:type="dxa"/>
            <w:gridSpan w:val="2"/>
            <w:vAlign w:val="top"/>
          </w:tcPr>
          <w:p w14:paraId="646A1459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提供软件更新、远程运维、数据传输及统一时间基准。</w:t>
            </w:r>
          </w:p>
        </w:tc>
        <w:tc>
          <w:tcPr>
            <w:tcW w:w="2160" w:type="dxa"/>
            <w:vAlign w:val="top"/>
          </w:tcPr>
          <w:p w14:paraId="6989C2FF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以太网、授时接口</w:t>
            </w:r>
          </w:p>
        </w:tc>
      </w:tr>
      <w:tr w14:paraId="13A5E5C1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AFBFC"/>
            <w:vAlign w:val="top"/>
          </w:tcPr>
          <w:p w14:paraId="7C6CC83F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户外机箱/室内机柜</w:t>
            </w:r>
          </w:p>
        </w:tc>
        <w:tc>
          <w:tcPr>
            <w:tcW w:w="5300" w:type="dxa"/>
            <w:gridSpan w:val="2"/>
            <w:shd w:val="clear" w:color="auto" w:fill="FAFBFC"/>
            <w:vAlign w:val="top"/>
          </w:tcPr>
          <w:p w14:paraId="24127692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完成器件收纳、环境防护、散热、标识和检修组织。</w:t>
            </w:r>
          </w:p>
        </w:tc>
        <w:tc>
          <w:tcPr>
            <w:tcW w:w="2160" w:type="dxa"/>
            <w:shd w:val="clear" w:color="auto" w:fill="FAFBFC"/>
            <w:vAlign w:val="top"/>
          </w:tcPr>
          <w:p w14:paraId="4B617D92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线缆引入、接地、通风</w:t>
            </w:r>
          </w:p>
        </w:tc>
      </w:tr>
    </w:tbl>
    <w:p w14:paraId="70E54E1F">
      <w:pPr>
        <w:spacing w:after="20"/>
      </w:pPr>
    </w:p>
    <w:p w14:paraId="2B1E74DC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3.3 接口设计要求</w:t>
      </w:r>
    </w:p>
    <w:p w14:paraId="19827913">
      <w:pPr>
        <w:pStyle w:val="16"/>
      </w:pPr>
      <w:r>
        <w:rPr>
          <w:rFonts w:ascii="Calibri" w:hAnsi="Calibri" w:eastAsia="微软雅黑"/>
          <w:color w:val="243444"/>
          <w:sz w:val="21"/>
        </w:rPr>
        <w:t>射频链路应形成从天线到收发端的完整损耗清单，标注频段、方向、线缆长度和防水处理。</w:t>
      </w:r>
    </w:p>
    <w:p w14:paraId="77F6261C">
      <w:pPr>
        <w:pStyle w:val="16"/>
      </w:pPr>
      <w:r>
        <w:rPr>
          <w:rFonts w:ascii="Calibri" w:hAnsi="Calibri" w:eastAsia="微软雅黑"/>
          <w:color w:val="243444"/>
          <w:sz w:val="21"/>
        </w:rPr>
        <w:t>控制接口应明确通信方式、地址/端口、波特率或协议、角度单位、超时和故障码。</w:t>
      </w:r>
    </w:p>
    <w:p w14:paraId="3BFEDC7C">
      <w:pPr>
        <w:pStyle w:val="16"/>
      </w:pPr>
      <w:r>
        <w:rPr>
          <w:rFonts w:ascii="Calibri" w:hAnsi="Calibri" w:eastAsia="微软雅黑"/>
          <w:color w:val="243444"/>
          <w:sz w:val="21"/>
        </w:rPr>
        <w:t>所有电源回路应有清晰标识，发射设备、转台和计算机宜分路保护并具备紧急断电能力。</w:t>
      </w:r>
    </w:p>
    <w:p w14:paraId="0A289221">
      <w:pPr>
        <w:pStyle w:val="16"/>
      </w:pPr>
      <w:r>
        <w:rPr>
          <w:rFonts w:ascii="Calibri" w:hAnsi="Calibri" w:eastAsia="微软雅黑"/>
          <w:color w:val="243444"/>
          <w:sz w:val="21"/>
        </w:rPr>
        <w:t>户外穿线应设置滴水弯、密封及拉力释放，避免接头承受线缆自重。</w:t>
      </w:r>
    </w:p>
    <w:p w14:paraId="6967719A">
      <w:pPr>
        <w:pStyle w:val="16"/>
      </w:pPr>
      <w:r>
        <w:rPr>
          <w:rFonts w:ascii="Calibri" w:hAnsi="Calibri" w:eastAsia="微软雅黑"/>
          <w:color w:val="243444"/>
          <w:sz w:val="21"/>
        </w:rPr>
        <w:t>系统时间宜统一到可靠时源，任务日志、录音、频谱和解码文件使用一致时间戳。</w:t>
      </w:r>
    </w:p>
    <w:p w14:paraId="31BD5FF5">
      <w:pPr>
        <w:pStyle w:val="16"/>
        <w:numPr>
          <w:numId w:val="0"/>
        </w:numPr>
        <w:ind w:left="360" w:leftChars="0"/>
      </w:pPr>
    </w:p>
    <w:p w14:paraId="5F5A3D36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4  核心功能介绍</w:t>
      </w:r>
    </w:p>
    <w:tbl>
      <w:tblPr>
        <w:tblStyle w:val="32"/>
        <w:tblW w:w="9360" w:type="dxa"/>
        <w:tblInd w:w="120" w:type="dxa"/>
        <w:tblBorders>
          <w:top w:val="single" w:color="CAD6E0" w:sz="6" w:space="0"/>
          <w:left w:val="single" w:color="CAD6E0" w:sz="6" w:space="0"/>
          <w:bottom w:val="single" w:color="CAD6E0" w:sz="6" w:space="0"/>
          <w:right w:val="single" w:color="CAD6E0" w:sz="6" w:space="0"/>
          <w:insideH w:val="single" w:color="CAD6E0" w:sz="6" w:space="0"/>
          <w:insideV w:val="single" w:color="CAD6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200"/>
        <w:gridCol w:w="2360"/>
      </w:tblGrid>
      <w:tr w14:paraId="20A898EB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0B3CF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6"/>
              </w:rPr>
              <w:t>功能</w:t>
            </w:r>
          </w:p>
        </w:tc>
        <w:tc>
          <w:tcPr>
            <w:tcW w:w="52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265DC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6"/>
              </w:rPr>
              <w:t>功能说明</w:t>
            </w:r>
          </w:p>
        </w:tc>
        <w:tc>
          <w:tcPr>
            <w:tcW w:w="23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57482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6"/>
              </w:rPr>
              <w:t>使用价值</w:t>
            </w:r>
          </w:p>
        </w:tc>
      </w:tr>
      <w:tr w14:paraId="73B7CE37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vAlign w:val="top"/>
          </w:tcPr>
          <w:p w14:paraId="26F98077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卫星库管理</w:t>
            </w:r>
          </w:p>
        </w:tc>
        <w:tc>
          <w:tcPr>
            <w:tcW w:w="5200" w:type="dxa"/>
            <w:vAlign w:val="top"/>
          </w:tcPr>
          <w:p w14:paraId="7E5BE88F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维护目标名称、目录编号、上下行频率、模式、极化、信标与转发器信息；支持启停和备注。</w:t>
            </w:r>
          </w:p>
        </w:tc>
        <w:tc>
          <w:tcPr>
            <w:tcW w:w="2360" w:type="dxa"/>
            <w:vAlign w:val="top"/>
          </w:tcPr>
          <w:p w14:paraId="56E2BF79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减少临时查找，形成统一任务配置。</w:t>
            </w:r>
          </w:p>
        </w:tc>
      </w:tr>
      <w:tr w14:paraId="0DF0E4F7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AFBFC"/>
            <w:vAlign w:val="top"/>
          </w:tcPr>
          <w:p w14:paraId="727FD6B7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轨道数据管理</w:t>
            </w:r>
          </w:p>
        </w:tc>
        <w:tc>
          <w:tcPr>
            <w:tcW w:w="5200" w:type="dxa"/>
            <w:shd w:val="clear" w:color="auto" w:fill="FAFBFC"/>
            <w:vAlign w:val="top"/>
          </w:tcPr>
          <w:p w14:paraId="1D4259B2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导入或更新两行轨道根数，校验更新时间和目标对应关系，保留更新记录。</w:t>
            </w:r>
          </w:p>
        </w:tc>
        <w:tc>
          <w:tcPr>
            <w:tcW w:w="2360" w:type="dxa"/>
            <w:shd w:val="clear" w:color="auto" w:fill="FAFBFC"/>
            <w:vAlign w:val="top"/>
          </w:tcPr>
          <w:p w14:paraId="70E7345F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保证过境预报基础数据可追溯。</w:t>
            </w:r>
          </w:p>
        </w:tc>
      </w:tr>
      <w:tr w14:paraId="01D7193E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vAlign w:val="top"/>
          </w:tcPr>
          <w:p w14:paraId="49085CA4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过境预报</w:t>
            </w:r>
          </w:p>
        </w:tc>
        <w:tc>
          <w:tcPr>
            <w:tcW w:w="5200" w:type="dxa"/>
            <w:vAlign w:val="top"/>
          </w:tcPr>
          <w:p w14:paraId="09CC5B8F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按站点位置计算可见开始、最高点、结束时刻、最大仰角、方位变化和预计时长。</w:t>
            </w:r>
          </w:p>
        </w:tc>
        <w:tc>
          <w:tcPr>
            <w:tcW w:w="2360" w:type="dxa"/>
            <w:vAlign w:val="top"/>
          </w:tcPr>
          <w:p w14:paraId="767C22DB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便于制定观测计划和人员安排。</w:t>
            </w:r>
          </w:p>
        </w:tc>
      </w:tr>
      <w:tr w14:paraId="6731872B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AFBFC"/>
            <w:vAlign w:val="top"/>
          </w:tcPr>
          <w:p w14:paraId="10C15C46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二维自动跟踪</w:t>
            </w:r>
          </w:p>
        </w:tc>
        <w:tc>
          <w:tcPr>
            <w:tcW w:w="5200" w:type="dxa"/>
            <w:shd w:val="clear" w:color="auto" w:fill="FAFBFC"/>
            <w:vAlign w:val="top"/>
          </w:tcPr>
          <w:p w14:paraId="7B980968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按时间连续输出方位/俯仰目标值，显示实测角度、跟踪误差、限位和运动状态。</w:t>
            </w:r>
          </w:p>
        </w:tc>
        <w:tc>
          <w:tcPr>
            <w:tcW w:w="2360" w:type="dxa"/>
            <w:shd w:val="clear" w:color="auto" w:fill="FAFBFC"/>
            <w:vAlign w:val="top"/>
          </w:tcPr>
          <w:p w14:paraId="3E70522F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在短过境窗口内保持天线指向。</w:t>
            </w:r>
          </w:p>
        </w:tc>
      </w:tr>
      <w:tr w14:paraId="17C0A968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vAlign w:val="top"/>
          </w:tcPr>
          <w:p w14:paraId="66C166B2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多普勒修正</w:t>
            </w:r>
          </w:p>
        </w:tc>
        <w:tc>
          <w:tcPr>
            <w:tcW w:w="5200" w:type="dxa"/>
            <w:vAlign w:val="top"/>
          </w:tcPr>
          <w:p w14:paraId="295C5EA2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根据相对运动计算频移，对接收或收发频率进行连续/步进调整，并允许人工微调。</w:t>
            </w:r>
          </w:p>
        </w:tc>
        <w:tc>
          <w:tcPr>
            <w:tcW w:w="2360" w:type="dxa"/>
            <w:vAlign w:val="top"/>
          </w:tcPr>
          <w:p w14:paraId="410AA4CE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提高窄带信号可读性和解调成功率。</w:t>
            </w:r>
          </w:p>
        </w:tc>
      </w:tr>
      <w:tr w14:paraId="0934FA33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AFBFC"/>
            <w:vAlign w:val="top"/>
          </w:tcPr>
          <w:p w14:paraId="5D9C11A2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频谱监视</w:t>
            </w:r>
          </w:p>
        </w:tc>
        <w:tc>
          <w:tcPr>
            <w:tcW w:w="5200" w:type="dxa"/>
            <w:shd w:val="clear" w:color="auto" w:fill="FAFBFC"/>
            <w:vAlign w:val="top"/>
          </w:tcPr>
          <w:p w14:paraId="76E5A691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显示工作频段瀑布图、频谱、信号强度和占用情况；支持标记与截图。</w:t>
            </w:r>
          </w:p>
        </w:tc>
        <w:tc>
          <w:tcPr>
            <w:tcW w:w="2360" w:type="dxa"/>
            <w:shd w:val="clear" w:color="auto" w:fill="FAFBFC"/>
            <w:vAlign w:val="top"/>
          </w:tcPr>
          <w:p w14:paraId="0B809D3F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辅助找星、干扰识别和参数调整。</w:t>
            </w:r>
          </w:p>
        </w:tc>
      </w:tr>
      <w:tr w14:paraId="1E54D1CB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vAlign w:val="top"/>
          </w:tcPr>
          <w:p w14:paraId="76EF8E09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语音与数据收发</w:t>
            </w:r>
          </w:p>
        </w:tc>
        <w:tc>
          <w:tcPr>
            <w:tcW w:w="5200" w:type="dxa"/>
            <w:vAlign w:val="top"/>
          </w:tcPr>
          <w:p w14:paraId="6882DEE0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支持目标卫星公开业务所需的语音或数据模式；实际模式按授权、设备和协议插件确定。</w:t>
            </w:r>
          </w:p>
        </w:tc>
        <w:tc>
          <w:tcPr>
            <w:tcW w:w="2360" w:type="dxa"/>
            <w:vAlign w:val="top"/>
          </w:tcPr>
          <w:p w14:paraId="54F40445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覆盖通联演示、信标接收和数据业务。</w:t>
            </w:r>
          </w:p>
        </w:tc>
      </w:tr>
      <w:tr w14:paraId="13E3CEF5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AFBFC"/>
            <w:vAlign w:val="top"/>
          </w:tcPr>
          <w:p w14:paraId="177090FA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遥测/信标解码</w:t>
            </w:r>
          </w:p>
        </w:tc>
        <w:tc>
          <w:tcPr>
            <w:tcW w:w="5200" w:type="dxa"/>
            <w:shd w:val="clear" w:color="auto" w:fill="FAFBFC"/>
            <w:vAlign w:val="top"/>
          </w:tcPr>
          <w:p w14:paraId="7B788B2C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接入相应解码器后解析公开协议报文，展示原始帧、字段值、校验状态与时间。</w:t>
            </w:r>
          </w:p>
        </w:tc>
        <w:tc>
          <w:tcPr>
            <w:tcW w:w="2360" w:type="dxa"/>
            <w:shd w:val="clear" w:color="auto" w:fill="FAFBFC"/>
            <w:vAlign w:val="top"/>
          </w:tcPr>
          <w:p w14:paraId="63545A89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便于教学、卫星健康观测和数据分析。</w:t>
            </w:r>
          </w:p>
        </w:tc>
      </w:tr>
      <w:tr w14:paraId="02E0529B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vAlign w:val="top"/>
          </w:tcPr>
          <w:p w14:paraId="2B1AF247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任务编排</w:t>
            </w:r>
          </w:p>
        </w:tc>
        <w:tc>
          <w:tcPr>
            <w:tcW w:w="5200" w:type="dxa"/>
            <w:vAlign w:val="top"/>
          </w:tcPr>
          <w:p w14:paraId="0D760BE1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为每次过境配置目标、频点、模式、跟踪起止、录制、解码和通知动作。</w:t>
            </w:r>
          </w:p>
        </w:tc>
        <w:tc>
          <w:tcPr>
            <w:tcW w:w="2360" w:type="dxa"/>
            <w:vAlign w:val="top"/>
          </w:tcPr>
          <w:p w14:paraId="74663508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降低重复操作并提高运行一致性。</w:t>
            </w:r>
          </w:p>
        </w:tc>
      </w:tr>
      <w:tr w14:paraId="06482613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AFBFC"/>
            <w:vAlign w:val="top"/>
          </w:tcPr>
          <w:p w14:paraId="258C2791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人工/自动切换</w:t>
            </w:r>
          </w:p>
        </w:tc>
        <w:tc>
          <w:tcPr>
            <w:tcW w:w="5200" w:type="dxa"/>
            <w:shd w:val="clear" w:color="auto" w:fill="FAFBFC"/>
            <w:vAlign w:val="top"/>
          </w:tcPr>
          <w:p w14:paraId="13A2E888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允许人工点动、手动调谐和自动任务模式切换；切换过程保持限位与发射联锁。</w:t>
            </w:r>
          </w:p>
        </w:tc>
        <w:tc>
          <w:tcPr>
            <w:tcW w:w="2360" w:type="dxa"/>
            <w:shd w:val="clear" w:color="auto" w:fill="FAFBFC"/>
            <w:vAlign w:val="top"/>
          </w:tcPr>
          <w:p w14:paraId="6C328B75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兼顾调试、应急和常态化值守。</w:t>
            </w:r>
          </w:p>
        </w:tc>
      </w:tr>
      <w:tr w14:paraId="3DC19407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vAlign w:val="top"/>
          </w:tcPr>
          <w:p w14:paraId="1907943C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状态监视与告警</w:t>
            </w:r>
          </w:p>
        </w:tc>
        <w:tc>
          <w:tcPr>
            <w:tcW w:w="5200" w:type="dxa"/>
            <w:vAlign w:val="top"/>
          </w:tcPr>
          <w:p w14:paraId="5D851904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监视转台角度、设备在线、通信超时、磁盘容量、温度/电源等可采集状态。</w:t>
            </w:r>
          </w:p>
        </w:tc>
        <w:tc>
          <w:tcPr>
            <w:tcW w:w="2360" w:type="dxa"/>
            <w:vAlign w:val="top"/>
          </w:tcPr>
          <w:p w14:paraId="27C96365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及时识别影响任务的异常。</w:t>
            </w:r>
          </w:p>
        </w:tc>
      </w:tr>
      <w:tr w14:paraId="6DAB18CA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AFBFC"/>
            <w:vAlign w:val="top"/>
          </w:tcPr>
          <w:p w14:paraId="71C72253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全过程记录</w:t>
            </w:r>
          </w:p>
        </w:tc>
        <w:tc>
          <w:tcPr>
            <w:tcW w:w="5200" w:type="dxa"/>
            <w:shd w:val="clear" w:color="auto" w:fill="FAFBFC"/>
            <w:vAlign w:val="top"/>
          </w:tcPr>
          <w:p w14:paraId="0F3F8941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关联保存计划、控制指令、设备状态、频率变化、录音/频谱/解码结果和操作人。</w:t>
            </w:r>
          </w:p>
        </w:tc>
        <w:tc>
          <w:tcPr>
            <w:tcW w:w="2360" w:type="dxa"/>
            <w:shd w:val="clear" w:color="auto" w:fill="FAFBFC"/>
            <w:vAlign w:val="top"/>
          </w:tcPr>
          <w:p w14:paraId="792D274C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支持复盘、验收和合规审计。</w:t>
            </w:r>
          </w:p>
        </w:tc>
      </w:tr>
      <w:tr w14:paraId="4E3A50AF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vAlign w:val="top"/>
          </w:tcPr>
          <w:p w14:paraId="54C45C15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查询与报表</w:t>
            </w:r>
          </w:p>
        </w:tc>
        <w:tc>
          <w:tcPr>
            <w:tcW w:w="5200" w:type="dxa"/>
            <w:vAlign w:val="top"/>
          </w:tcPr>
          <w:p w14:paraId="1371F764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按日期、目标、结果和操作人检索任务，导出记录清单及统计摘要。</w:t>
            </w:r>
          </w:p>
        </w:tc>
        <w:tc>
          <w:tcPr>
            <w:tcW w:w="2360" w:type="dxa"/>
            <w:vAlign w:val="top"/>
          </w:tcPr>
          <w:p w14:paraId="61393895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便于成果汇总和运行评估。</w:t>
            </w:r>
          </w:p>
        </w:tc>
      </w:tr>
      <w:tr w14:paraId="6E64EC0D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AFBFC"/>
            <w:vAlign w:val="top"/>
          </w:tcPr>
          <w:p w14:paraId="13C1A39A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权限与联锁</w:t>
            </w:r>
          </w:p>
        </w:tc>
        <w:tc>
          <w:tcPr>
            <w:tcW w:w="5200" w:type="dxa"/>
            <w:shd w:val="clear" w:color="auto" w:fill="FAFBFC"/>
            <w:vAlign w:val="top"/>
          </w:tcPr>
          <w:p w14:paraId="032E0EE5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按角色控制查看、配置、人工控制和发射权限；对禁发条件、频段和功率进行策略约束。</w:t>
            </w:r>
          </w:p>
        </w:tc>
        <w:tc>
          <w:tcPr>
            <w:tcW w:w="2360" w:type="dxa"/>
            <w:shd w:val="clear" w:color="auto" w:fill="FAFBFC"/>
            <w:vAlign w:val="top"/>
          </w:tcPr>
          <w:p w14:paraId="07893C22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降低误操作和违规发射风险。</w:t>
            </w:r>
          </w:p>
        </w:tc>
      </w:tr>
    </w:tbl>
    <w:p w14:paraId="58D4A6DC">
      <w:pPr>
        <w:spacing w:after="20"/>
      </w:pPr>
    </w:p>
    <w:p w14:paraId="487B6EEC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4.1 自动跟踪功能说明</w:t>
      </w:r>
    </w:p>
    <w:p w14:paraId="347F0CA1">
      <w:pPr>
        <w:spacing w:before="60" w:after="40"/>
        <w:jc w:val="center"/>
      </w:pPr>
      <w:r>
        <w:drawing>
          <wp:inline distT="0" distB="0" distL="114300" distR="114300">
            <wp:extent cx="5806440" cy="3225800"/>
            <wp:effectExtent l="0" t="0" r="10160" b="0"/>
            <wp:docPr id="16" name="Picture 12" descr="自动跟踪与设备控制关系示意图" title="自动跟踪与设备控制关系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2" descr="自动跟踪与设备控制关系示意图" title="自动跟踪与设备控制关系示意图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079B">
      <w:pPr>
        <w:spacing w:before="40" w:after="140"/>
        <w:jc w:val="center"/>
      </w:pPr>
      <w:r>
        <w:rPr>
          <w:rFonts w:ascii="Calibri" w:hAnsi="Calibri" w:eastAsia="微软雅黑"/>
          <w:b w:val="0"/>
          <w:i/>
          <w:color w:val="667788"/>
          <w:sz w:val="17"/>
        </w:rPr>
        <w:t>图 4-1  自动跟踪与设备控制关系示意图</w:t>
      </w:r>
    </w:p>
    <w:p w14:paraId="74F9E617">
      <w:pPr>
        <w:ind w:firstLine="420" w:firstLineChars="200"/>
      </w:pPr>
      <w:r>
        <w:rPr>
          <w:rFonts w:ascii="Calibri" w:hAnsi="Calibri" w:eastAsia="微软雅黑"/>
          <w:i w:val="0"/>
          <w:color w:val="243444"/>
          <w:sz w:val="21"/>
        </w:rPr>
        <w:t>自动跟踪以站点地理位置、系统时间和目标轨道数据为输入。软件计算目标在本地坐标系中的实时方位角和仰角，在可跟踪区间内向转台控制单元发送目标值；控制单元反馈实际角度，软件据此显示偏差并判断超时、卡滞或越限。接近地平线时可根据现场遮挡设置最低工作仰角，避免无效追踪和不安全姿态。</w:t>
      </w:r>
    </w:p>
    <w:p w14:paraId="6DCE3FDE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4.2 多普勒补偿功能说明</w:t>
      </w:r>
    </w:p>
    <w:p w14:paraId="3853B1B6">
      <w:pPr>
        <w:ind w:firstLine="420" w:firstLineChars="200"/>
      </w:pPr>
      <w:r>
        <w:rPr>
          <w:rFonts w:ascii="Calibri" w:hAnsi="Calibri" w:eastAsia="微软雅黑"/>
          <w:i w:val="0"/>
          <w:color w:val="243444"/>
          <w:sz w:val="21"/>
        </w:rPr>
        <w:t>低轨卫星相对地面站的径向速度在过境过程中不断变化，会引起上、下行频率偏移。系统根据轨道计算结果和配置频点得到补偿量，通过设备控制接口调整工作频率。对带宽较窄的信标或数据模式，更新步长应更细；对人工语音操作，可保留旋钮/软件微调并记录最终偏置。补偿方向、基准频率和更新速率须在联调阶段针对每类业务验证。</w:t>
      </w:r>
    </w:p>
    <w:p w14:paraId="230C8782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4.3 发射控制说明</w:t>
      </w:r>
    </w:p>
    <w:p w14:paraId="3006BE7E">
      <w:pPr>
        <w:spacing w:after="20"/>
        <w:ind w:firstLine="400" w:firstLineChars="200"/>
      </w:pPr>
      <w:r>
        <w:rPr>
          <w:rFonts w:ascii="Calibri" w:hAnsi="Calibri" w:eastAsia="微软雅黑"/>
          <w:color w:val="243444"/>
          <w:sz w:val="20"/>
        </w:rPr>
        <w:t>接收任务可以按计划自动执行；发射功能应默认关闭或处于受控状态。仅在操作人员资质、台站许可、目标频率/模式、功率限制及卫星业务规则均满足时开放，并保留人工确认、禁发区间、超时释放和完整日志</w:t>
      </w:r>
    </w:p>
    <w:p w14:paraId="23EC8D9D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5  典型业务流程</w:t>
      </w:r>
    </w:p>
    <w:p w14:paraId="58851D5C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5.1 自动接收任务</w:t>
      </w:r>
    </w:p>
    <w:p w14:paraId="20B03535">
      <w:pPr>
        <w:spacing w:after="100"/>
        <w:ind w:left="230" w:hanging="230"/>
      </w:pPr>
      <w:r>
        <w:rPr>
          <w:rFonts w:ascii="Calibri" w:hAnsi="Calibri" w:eastAsia="微软雅黑"/>
          <w:b/>
          <w:color w:val="2E74B5"/>
          <w:sz w:val="21"/>
        </w:rPr>
        <w:t xml:space="preserve">01  准备  </w:t>
      </w:r>
      <w:r>
        <w:rPr>
          <w:rFonts w:ascii="Calibri" w:hAnsi="Calibri" w:eastAsia="微软雅黑"/>
          <w:color w:val="243444"/>
          <w:sz w:val="21"/>
        </w:rPr>
        <w:t>检查轨道数据有效期、站点时间、设备在线状态、存储空间和天气条件。</w:t>
      </w:r>
    </w:p>
    <w:p w14:paraId="501A984A">
      <w:pPr>
        <w:spacing w:after="100"/>
        <w:ind w:left="230" w:hanging="230"/>
      </w:pPr>
      <w:r>
        <w:rPr>
          <w:rFonts w:ascii="Calibri" w:hAnsi="Calibri" w:eastAsia="微软雅黑"/>
          <w:b/>
          <w:color w:val="2E74B5"/>
          <w:sz w:val="21"/>
        </w:rPr>
        <w:t xml:space="preserve">02  选星  </w:t>
      </w:r>
      <w:r>
        <w:rPr>
          <w:rFonts w:ascii="Calibri" w:hAnsi="Calibri" w:eastAsia="微软雅黑"/>
          <w:color w:val="243444"/>
          <w:sz w:val="21"/>
        </w:rPr>
        <w:t>从卫星库选择目标，确认下行频点、模式、最低仰角和录制/解码策略。</w:t>
      </w:r>
    </w:p>
    <w:p w14:paraId="2D25352D">
      <w:pPr>
        <w:spacing w:after="100"/>
        <w:ind w:left="230" w:hanging="230"/>
      </w:pPr>
      <w:r>
        <w:rPr>
          <w:rFonts w:ascii="Calibri" w:hAnsi="Calibri" w:eastAsia="微软雅黑"/>
          <w:b/>
          <w:color w:val="2E74B5"/>
          <w:sz w:val="21"/>
        </w:rPr>
        <w:t xml:space="preserve">03  预置  </w:t>
      </w:r>
      <w:r>
        <w:rPr>
          <w:rFonts w:ascii="Calibri" w:hAnsi="Calibri" w:eastAsia="微软雅黑"/>
          <w:color w:val="243444"/>
          <w:sz w:val="21"/>
        </w:rPr>
        <w:t>任务开始前将天线转至预置方向，收发设备调谐到预计捕获频率。</w:t>
      </w:r>
    </w:p>
    <w:p w14:paraId="68DEBD60">
      <w:pPr>
        <w:spacing w:after="100"/>
        <w:ind w:left="230" w:hanging="230"/>
      </w:pPr>
      <w:r>
        <w:rPr>
          <w:rFonts w:ascii="Calibri" w:hAnsi="Calibri" w:eastAsia="微软雅黑"/>
          <w:b/>
          <w:color w:val="2E74B5"/>
          <w:sz w:val="21"/>
        </w:rPr>
        <w:t xml:space="preserve">04  捕获  </w:t>
      </w:r>
      <w:r>
        <w:rPr>
          <w:rFonts w:ascii="Calibri" w:hAnsi="Calibri" w:eastAsia="微软雅黑"/>
          <w:color w:val="243444"/>
          <w:sz w:val="21"/>
        </w:rPr>
        <w:t>进入可见窗口后启动自动跟踪、多普勒修正、频谱监视与录制。</w:t>
      </w:r>
    </w:p>
    <w:p w14:paraId="7447F823">
      <w:pPr>
        <w:spacing w:after="100"/>
        <w:ind w:left="230" w:hanging="230"/>
      </w:pPr>
      <w:r>
        <w:rPr>
          <w:rFonts w:ascii="Calibri" w:hAnsi="Calibri" w:eastAsia="微软雅黑"/>
          <w:b/>
          <w:color w:val="2E74B5"/>
          <w:sz w:val="21"/>
        </w:rPr>
        <w:t xml:space="preserve">05  处理  </w:t>
      </w:r>
      <w:r>
        <w:rPr>
          <w:rFonts w:ascii="Calibri" w:hAnsi="Calibri" w:eastAsia="微软雅黑"/>
          <w:color w:val="243444"/>
          <w:sz w:val="21"/>
        </w:rPr>
        <w:t>实时监听/解码并标记关键事件；异常时允许人工微调或停止任务。</w:t>
      </w:r>
    </w:p>
    <w:p w14:paraId="238436E0">
      <w:pPr>
        <w:spacing w:after="100"/>
        <w:ind w:left="230" w:hanging="230"/>
      </w:pPr>
      <w:r>
        <w:rPr>
          <w:rFonts w:ascii="Calibri" w:hAnsi="Calibri" w:eastAsia="微软雅黑"/>
          <w:b/>
          <w:color w:val="2E74B5"/>
          <w:sz w:val="21"/>
        </w:rPr>
        <w:t xml:space="preserve">06  收尾  </w:t>
      </w:r>
      <w:r>
        <w:rPr>
          <w:rFonts w:ascii="Calibri" w:hAnsi="Calibri" w:eastAsia="微软雅黑"/>
          <w:color w:val="243444"/>
          <w:sz w:val="21"/>
        </w:rPr>
        <w:t>卫星离站后停止录制，天线归位，汇总日志并生成任务结果。</w:t>
      </w:r>
    </w:p>
    <w:p w14:paraId="7C604A0F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5.2 人工通联任务</w:t>
      </w:r>
    </w:p>
    <w:p w14:paraId="410E8AD0">
      <w:pPr>
        <w:spacing w:after="100"/>
        <w:ind w:left="230" w:hanging="230"/>
      </w:pPr>
      <w:r>
        <w:rPr>
          <w:rFonts w:ascii="Calibri" w:hAnsi="Calibri" w:eastAsia="微软雅黑"/>
          <w:b/>
          <w:color w:val="2E74B5"/>
          <w:sz w:val="21"/>
        </w:rPr>
        <w:t xml:space="preserve">01  合规确认  </w:t>
      </w:r>
      <w:r>
        <w:rPr>
          <w:rFonts w:ascii="Calibri" w:hAnsi="Calibri" w:eastAsia="微软雅黑"/>
          <w:color w:val="243444"/>
          <w:sz w:val="21"/>
        </w:rPr>
        <w:t>确认操作人员资格、呼号、许可范围、卫星转发器状态和业务规则。</w:t>
      </w:r>
    </w:p>
    <w:p w14:paraId="765A1454">
      <w:pPr>
        <w:spacing w:after="100"/>
        <w:ind w:left="230" w:hanging="230"/>
      </w:pPr>
      <w:r>
        <w:rPr>
          <w:rFonts w:ascii="Calibri" w:hAnsi="Calibri" w:eastAsia="微软雅黑"/>
          <w:b/>
          <w:color w:val="2E74B5"/>
          <w:sz w:val="21"/>
        </w:rPr>
        <w:t xml:space="preserve">02  链路配置  </w:t>
      </w:r>
      <w:r>
        <w:rPr>
          <w:rFonts w:ascii="Calibri" w:hAnsi="Calibri" w:eastAsia="微软雅黑"/>
          <w:color w:val="243444"/>
          <w:sz w:val="21"/>
        </w:rPr>
        <w:t>核对上/下行频率、模式、偏差、功率上限和收发切换方式。</w:t>
      </w:r>
    </w:p>
    <w:p w14:paraId="6E3EB97A">
      <w:pPr>
        <w:spacing w:after="100"/>
        <w:ind w:left="230" w:hanging="230"/>
      </w:pPr>
      <w:r>
        <w:rPr>
          <w:rFonts w:ascii="Calibri" w:hAnsi="Calibri" w:eastAsia="微软雅黑"/>
          <w:b/>
          <w:color w:val="2E74B5"/>
          <w:sz w:val="21"/>
        </w:rPr>
        <w:t xml:space="preserve">03  接收优先  </w:t>
      </w:r>
      <w:r>
        <w:rPr>
          <w:rFonts w:ascii="Calibri" w:hAnsi="Calibri" w:eastAsia="微软雅黑"/>
          <w:color w:val="243444"/>
          <w:sz w:val="21"/>
        </w:rPr>
        <w:t>先捕获下行并确认链路、跟踪和多普勒方向正确，再申请开启发射。</w:t>
      </w:r>
    </w:p>
    <w:p w14:paraId="46040507">
      <w:pPr>
        <w:spacing w:after="100"/>
        <w:ind w:left="230" w:hanging="230"/>
      </w:pPr>
      <w:r>
        <w:rPr>
          <w:rFonts w:ascii="Calibri" w:hAnsi="Calibri" w:eastAsia="微软雅黑"/>
          <w:b/>
          <w:color w:val="2E74B5"/>
          <w:sz w:val="21"/>
        </w:rPr>
        <w:t xml:space="preserve">04  受控发射  </w:t>
      </w:r>
      <w:r>
        <w:rPr>
          <w:rFonts w:ascii="Calibri" w:hAnsi="Calibri" w:eastAsia="微软雅黑"/>
          <w:color w:val="243444"/>
          <w:sz w:val="21"/>
        </w:rPr>
        <w:t>使用必要且适当的功率，遵守通联秩序；异常或离开工作区立即释放发射。</w:t>
      </w:r>
    </w:p>
    <w:p w14:paraId="26D3B2B9">
      <w:pPr>
        <w:spacing w:after="100"/>
        <w:ind w:left="230" w:hanging="230"/>
      </w:pPr>
      <w:r>
        <w:rPr>
          <w:rFonts w:ascii="Calibri" w:hAnsi="Calibri" w:eastAsia="微软雅黑"/>
          <w:b/>
          <w:color w:val="2E74B5"/>
          <w:sz w:val="21"/>
        </w:rPr>
        <w:t xml:space="preserve">05  记录归档  </w:t>
      </w:r>
      <w:r>
        <w:rPr>
          <w:rFonts w:ascii="Calibri" w:hAnsi="Calibri" w:eastAsia="微软雅黑"/>
          <w:color w:val="243444"/>
          <w:sz w:val="21"/>
        </w:rPr>
        <w:t>保存通联时间、目标、频率/模式、操作人、对方呼号和必要的技术记录。</w:t>
      </w:r>
    </w:p>
    <w:p w14:paraId="75D1B746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5.3 异常处置流程</w:t>
      </w:r>
    </w:p>
    <w:tbl>
      <w:tblPr>
        <w:tblStyle w:val="32"/>
        <w:tblW w:w="9360" w:type="dxa"/>
        <w:tblInd w:w="120" w:type="dxa"/>
        <w:tblBorders>
          <w:top w:val="single" w:color="CAD6E0" w:sz="6" w:space="0"/>
          <w:left w:val="single" w:color="CAD6E0" w:sz="6" w:space="0"/>
          <w:bottom w:val="single" w:color="CAD6E0" w:sz="6" w:space="0"/>
          <w:right w:val="single" w:color="CAD6E0" w:sz="6" w:space="0"/>
          <w:insideH w:val="single" w:color="CAD6E0" w:sz="6" w:space="0"/>
          <w:insideV w:val="single" w:color="CAD6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5200"/>
        <w:gridCol w:w="2260"/>
      </w:tblGrid>
      <w:tr w14:paraId="13324914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2375D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7"/>
              </w:rPr>
              <w:t>异常</w:t>
            </w:r>
          </w:p>
        </w:tc>
        <w:tc>
          <w:tcPr>
            <w:tcW w:w="52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D3013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7"/>
              </w:rPr>
              <w:t>处置建议</w:t>
            </w:r>
          </w:p>
        </w:tc>
        <w:tc>
          <w:tcPr>
            <w:tcW w:w="22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4C411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7"/>
              </w:rPr>
              <w:t>恢复条件</w:t>
            </w:r>
          </w:p>
        </w:tc>
      </w:tr>
      <w:tr w14:paraId="3E330E1B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vAlign w:val="top"/>
          </w:tcPr>
          <w:p w14:paraId="0C76153A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目标未捕获</w:t>
            </w:r>
          </w:p>
        </w:tc>
        <w:tc>
          <w:tcPr>
            <w:tcW w:w="5200" w:type="dxa"/>
            <w:vAlign w:val="top"/>
          </w:tcPr>
          <w:p w14:paraId="4AC60E8D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核对系统时间、轨道数据、站点坐标、天线指向、频率与极化；观察频谱而非盲目发射。</w:t>
            </w:r>
          </w:p>
        </w:tc>
        <w:tc>
          <w:tcPr>
            <w:tcW w:w="2260" w:type="dxa"/>
            <w:vAlign w:val="top"/>
          </w:tcPr>
          <w:p w14:paraId="6CC0A771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确认目标信息及接收链路正常。</w:t>
            </w:r>
          </w:p>
        </w:tc>
      </w:tr>
      <w:tr w14:paraId="698C740F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AFBFC"/>
            <w:vAlign w:val="top"/>
          </w:tcPr>
          <w:p w14:paraId="661D1195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转台不动作/角度异常</w:t>
            </w:r>
          </w:p>
        </w:tc>
        <w:tc>
          <w:tcPr>
            <w:tcW w:w="5200" w:type="dxa"/>
            <w:shd w:val="clear" w:color="auto" w:fill="FAFBFC"/>
            <w:vAlign w:val="top"/>
          </w:tcPr>
          <w:p w14:paraId="44AD555B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立即停止自动任务，检查急停、限位、控制通信、供电及机械阻滞；禁止强行越限。</w:t>
            </w:r>
          </w:p>
        </w:tc>
        <w:tc>
          <w:tcPr>
            <w:tcW w:w="2260" w:type="dxa"/>
            <w:shd w:val="clear" w:color="auto" w:fill="FAFBFC"/>
            <w:vAlign w:val="top"/>
          </w:tcPr>
          <w:p w14:paraId="3F80CEEB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人工点动及角度反馈测试通过。</w:t>
            </w:r>
          </w:p>
        </w:tc>
      </w:tr>
      <w:tr w14:paraId="52AE32F9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vAlign w:val="top"/>
          </w:tcPr>
          <w:p w14:paraId="6C58DEAA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接收过载或互扰</w:t>
            </w:r>
          </w:p>
        </w:tc>
        <w:tc>
          <w:tcPr>
            <w:tcW w:w="5200" w:type="dxa"/>
            <w:vAlign w:val="top"/>
          </w:tcPr>
          <w:p w14:paraId="5F5552AE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降低前端增益，启用滤波/衰减，检查共址发射源和接头屏蔽。</w:t>
            </w:r>
          </w:p>
        </w:tc>
        <w:tc>
          <w:tcPr>
            <w:tcW w:w="2260" w:type="dxa"/>
            <w:vAlign w:val="top"/>
          </w:tcPr>
          <w:p w14:paraId="62559CBA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频谱底噪及目标信号恢复正常。</w:t>
            </w:r>
          </w:p>
        </w:tc>
      </w:tr>
      <w:tr w14:paraId="2DF618D4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AFBFC"/>
            <w:vAlign w:val="top"/>
          </w:tcPr>
          <w:p w14:paraId="66981946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软件失联</w:t>
            </w:r>
          </w:p>
        </w:tc>
        <w:tc>
          <w:tcPr>
            <w:tcW w:w="5200" w:type="dxa"/>
            <w:shd w:val="clear" w:color="auto" w:fill="FAFBFC"/>
            <w:vAlign w:val="top"/>
          </w:tcPr>
          <w:p w14:paraId="56341531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停止发射，保持或归位天线，检查控制接口、网络和进程，保留日志。</w:t>
            </w:r>
          </w:p>
        </w:tc>
        <w:tc>
          <w:tcPr>
            <w:tcW w:w="2260" w:type="dxa"/>
            <w:shd w:val="clear" w:color="auto" w:fill="FAFBFC"/>
            <w:vAlign w:val="top"/>
          </w:tcPr>
          <w:p w14:paraId="59F09E12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关键模块重新上线并通过自检。</w:t>
            </w:r>
          </w:p>
        </w:tc>
      </w:tr>
      <w:tr w14:paraId="6DD39074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vAlign w:val="top"/>
          </w:tcPr>
          <w:p w14:paraId="5D00DEA9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恶劣天气</w:t>
            </w:r>
          </w:p>
        </w:tc>
        <w:tc>
          <w:tcPr>
            <w:tcW w:w="5200" w:type="dxa"/>
            <w:vAlign w:val="top"/>
          </w:tcPr>
          <w:p w14:paraId="7D5B4619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停止室外机构动作和发射，按现场安全规程断开/保护相关设备。</w:t>
            </w:r>
          </w:p>
        </w:tc>
        <w:tc>
          <w:tcPr>
            <w:tcW w:w="2260" w:type="dxa"/>
            <w:vAlign w:val="top"/>
          </w:tcPr>
          <w:p w14:paraId="07E5F0C5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天气与结构安全条件恢复并检查无异常。</w:t>
            </w:r>
          </w:p>
        </w:tc>
      </w:tr>
    </w:tbl>
    <w:p w14:paraId="7CB18F72">
      <w:pPr>
        <w:spacing w:after="20"/>
      </w:pPr>
    </w:p>
    <w:p w14:paraId="74CFBE4D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6  软件与数据管理</w:t>
      </w:r>
    </w:p>
    <w:p w14:paraId="3FDCD739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6.1 软件功能分层</w:t>
      </w:r>
    </w:p>
    <w:tbl>
      <w:tblPr>
        <w:tblStyle w:val="32"/>
        <w:tblW w:w="9360" w:type="dxa"/>
        <w:tblInd w:w="120" w:type="dxa"/>
        <w:tblBorders>
          <w:top w:val="single" w:color="CAD6E0" w:sz="6" w:space="0"/>
          <w:left w:val="single" w:color="CAD6E0" w:sz="6" w:space="0"/>
          <w:bottom w:val="single" w:color="CAD6E0" w:sz="6" w:space="0"/>
          <w:right w:val="single" w:color="CAD6E0" w:sz="6" w:space="0"/>
          <w:insideH w:val="single" w:color="CAD6E0" w:sz="6" w:space="0"/>
          <w:insideV w:val="single" w:color="CAD6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700"/>
        <w:gridCol w:w="2760"/>
      </w:tblGrid>
      <w:tr w14:paraId="7C90AF6F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7D9DE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7"/>
              </w:rPr>
              <w:t>软件模块</w:t>
            </w:r>
          </w:p>
        </w:tc>
        <w:tc>
          <w:tcPr>
            <w:tcW w:w="47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7F30D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7"/>
              </w:rPr>
              <w:t>主要职责</w:t>
            </w:r>
          </w:p>
        </w:tc>
        <w:tc>
          <w:tcPr>
            <w:tcW w:w="27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567EE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7"/>
              </w:rPr>
              <w:t>关键数据</w:t>
            </w:r>
          </w:p>
        </w:tc>
      </w:tr>
      <w:tr w14:paraId="306E9D07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vAlign w:val="top"/>
          </w:tcPr>
          <w:p w14:paraId="70F9F78D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设备适配层</w:t>
            </w:r>
          </w:p>
        </w:tc>
        <w:tc>
          <w:tcPr>
            <w:tcW w:w="4700" w:type="dxa"/>
            <w:vAlign w:val="top"/>
          </w:tcPr>
          <w:p w14:paraId="160DA777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封装转台、收发、频谱和传感器接口，统一连接、状态和错误处理。</w:t>
            </w:r>
          </w:p>
        </w:tc>
        <w:tc>
          <w:tcPr>
            <w:tcW w:w="2760" w:type="dxa"/>
            <w:vAlign w:val="top"/>
          </w:tcPr>
          <w:p w14:paraId="10FBB454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设备状态、控制命令、故障码</w:t>
            </w:r>
          </w:p>
        </w:tc>
      </w:tr>
      <w:tr w14:paraId="592F15C1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AFBFC"/>
            <w:vAlign w:val="top"/>
          </w:tcPr>
          <w:p w14:paraId="5B96F7A1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轨道与几何层</w:t>
            </w:r>
          </w:p>
        </w:tc>
        <w:tc>
          <w:tcPr>
            <w:tcW w:w="4700" w:type="dxa"/>
            <w:shd w:val="clear" w:color="auto" w:fill="FAFBFC"/>
            <w:vAlign w:val="top"/>
          </w:tcPr>
          <w:p w14:paraId="330E95D6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管理站点、轨道根数、过境计算、方位/仰角和多普勒。</w:t>
            </w:r>
          </w:p>
        </w:tc>
        <w:tc>
          <w:tcPr>
            <w:tcW w:w="2760" w:type="dxa"/>
            <w:shd w:val="clear" w:color="auto" w:fill="FAFBFC"/>
            <w:vAlign w:val="top"/>
          </w:tcPr>
          <w:p w14:paraId="7FCDC118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目标轨道、可见窗口、补偿量</w:t>
            </w:r>
          </w:p>
        </w:tc>
      </w:tr>
      <w:tr w14:paraId="1215336E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vAlign w:val="top"/>
          </w:tcPr>
          <w:p w14:paraId="7BB28BB7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任务执行层</w:t>
            </w:r>
          </w:p>
        </w:tc>
        <w:tc>
          <w:tcPr>
            <w:tcW w:w="4700" w:type="dxa"/>
            <w:vAlign w:val="top"/>
          </w:tcPr>
          <w:p w14:paraId="588CD921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按计划编排预置、跟踪、调谐、录制、解码和归位动作。</w:t>
            </w:r>
          </w:p>
        </w:tc>
        <w:tc>
          <w:tcPr>
            <w:tcW w:w="2760" w:type="dxa"/>
            <w:vAlign w:val="top"/>
          </w:tcPr>
          <w:p w14:paraId="402138ED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任务模板、执行步骤、事件</w:t>
            </w:r>
          </w:p>
        </w:tc>
      </w:tr>
      <w:tr w14:paraId="4CE6657E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AFBFC"/>
            <w:vAlign w:val="top"/>
          </w:tcPr>
          <w:p w14:paraId="3E3A59C3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业务应用层</w:t>
            </w:r>
          </w:p>
        </w:tc>
        <w:tc>
          <w:tcPr>
            <w:tcW w:w="4700" w:type="dxa"/>
            <w:shd w:val="clear" w:color="auto" w:fill="FAFBFC"/>
            <w:vAlign w:val="top"/>
          </w:tcPr>
          <w:p w14:paraId="38891BC0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提供频谱、音频、解码、人工控制、查询和报表界面。</w:t>
            </w:r>
          </w:p>
        </w:tc>
        <w:tc>
          <w:tcPr>
            <w:tcW w:w="2760" w:type="dxa"/>
            <w:shd w:val="clear" w:color="auto" w:fill="FAFBFC"/>
            <w:vAlign w:val="top"/>
          </w:tcPr>
          <w:p w14:paraId="7C2894CA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录音、频谱/IQ、解码帧、备注</w:t>
            </w:r>
          </w:p>
        </w:tc>
      </w:tr>
      <w:tr w14:paraId="1000BFDC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vAlign w:val="top"/>
          </w:tcPr>
          <w:p w14:paraId="02899610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管理与审计层</w:t>
            </w:r>
          </w:p>
        </w:tc>
        <w:tc>
          <w:tcPr>
            <w:tcW w:w="4700" w:type="dxa"/>
            <w:vAlign w:val="top"/>
          </w:tcPr>
          <w:p w14:paraId="19950B56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用户角色、权限、配置版本、日志、备份和告警。</w:t>
            </w:r>
          </w:p>
        </w:tc>
        <w:tc>
          <w:tcPr>
            <w:tcW w:w="2760" w:type="dxa"/>
            <w:vAlign w:val="top"/>
          </w:tcPr>
          <w:p w14:paraId="0B163250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7"/>
              </w:rPr>
              <w:t>账户、策略、操作日志、备份记录</w:t>
            </w:r>
          </w:p>
        </w:tc>
      </w:tr>
    </w:tbl>
    <w:p w14:paraId="4184727A">
      <w:pPr>
        <w:spacing w:after="20"/>
      </w:pPr>
    </w:p>
    <w:p w14:paraId="7F894FE6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6.2 数据组织建议</w:t>
      </w:r>
    </w:p>
    <w:p w14:paraId="4E742203">
      <w:pPr>
        <w:pStyle w:val="16"/>
      </w:pPr>
      <w:r>
        <w:rPr>
          <w:rFonts w:ascii="Calibri" w:hAnsi="Calibri" w:eastAsia="微软雅黑"/>
          <w:color w:val="243444"/>
          <w:sz w:val="21"/>
        </w:rPr>
        <w:t>每次过境生成唯一任务编号，关联目标、计划时间、实际时间、操作人和执行结果。</w:t>
      </w:r>
    </w:p>
    <w:p w14:paraId="52B9B140">
      <w:pPr>
        <w:pStyle w:val="16"/>
      </w:pPr>
      <w:r>
        <w:rPr>
          <w:rFonts w:ascii="Calibri" w:hAnsi="Calibri" w:eastAsia="微软雅黑"/>
          <w:color w:val="243444"/>
          <w:sz w:val="21"/>
        </w:rPr>
        <w:t>原始数据与派生数据分开保存：原始录音/频谱/IQ/报文不覆盖，解码结果可重新生成。</w:t>
      </w:r>
    </w:p>
    <w:p w14:paraId="5ED9658E">
      <w:pPr>
        <w:pStyle w:val="16"/>
      </w:pPr>
      <w:r>
        <w:rPr>
          <w:rFonts w:ascii="Calibri" w:hAnsi="Calibri" w:eastAsia="微软雅黑"/>
          <w:color w:val="243444"/>
          <w:sz w:val="21"/>
        </w:rPr>
        <w:t>配置变更保留版本和生效时间，尤其是频点、模式、轨道数据源、限位和发射策略。</w:t>
      </w:r>
    </w:p>
    <w:p w14:paraId="29AFFD84">
      <w:pPr>
        <w:pStyle w:val="16"/>
      </w:pPr>
      <w:r>
        <w:rPr>
          <w:rFonts w:ascii="Calibri" w:hAnsi="Calibri" w:eastAsia="微软雅黑"/>
          <w:color w:val="243444"/>
          <w:sz w:val="21"/>
        </w:rPr>
        <w:t>按照存储容量制定在线保留、归档和清理周期；重要任务至少保留两份独立副本。</w:t>
      </w:r>
    </w:p>
    <w:p w14:paraId="27D0D1C7">
      <w:pPr>
        <w:pStyle w:val="16"/>
      </w:pPr>
      <w:r>
        <w:rPr>
          <w:rFonts w:ascii="Calibri" w:hAnsi="Calibri" w:eastAsia="微软雅黑"/>
          <w:color w:val="243444"/>
          <w:sz w:val="21"/>
        </w:rPr>
        <w:t>导出文件应包含明确时间基准、站点标识、目标标识和数据格式说明。</w:t>
      </w:r>
    </w:p>
    <w:p w14:paraId="3D722E73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6.3 用户角色建议</w:t>
      </w:r>
    </w:p>
    <w:tbl>
      <w:tblPr>
        <w:tblStyle w:val="32"/>
        <w:tblW w:w="9360" w:type="dxa"/>
        <w:tblInd w:w="120" w:type="dxa"/>
        <w:tblBorders>
          <w:top w:val="single" w:color="CAD6E0" w:sz="6" w:space="0"/>
          <w:left w:val="single" w:color="CAD6E0" w:sz="6" w:space="0"/>
          <w:bottom w:val="single" w:color="CAD6E0" w:sz="6" w:space="0"/>
          <w:right w:val="single" w:color="CAD6E0" w:sz="6" w:space="0"/>
          <w:insideH w:val="single" w:color="CAD6E0" w:sz="6" w:space="0"/>
          <w:insideV w:val="single" w:color="CAD6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51BD2D0B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62659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8"/>
              </w:rPr>
              <w:t>角色</w:t>
            </w:r>
          </w:p>
        </w:tc>
        <w:tc>
          <w:tcPr>
            <w:tcW w:w="72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09A4D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8"/>
              </w:rPr>
              <w:t>典型权限</w:t>
            </w:r>
          </w:p>
        </w:tc>
      </w:tr>
      <w:tr w14:paraId="0EEF4CD6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vAlign w:val="top"/>
          </w:tcPr>
          <w:p w14:paraId="1FD6BEA4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观察员</w:t>
            </w:r>
          </w:p>
        </w:tc>
        <w:tc>
          <w:tcPr>
            <w:tcW w:w="7260" w:type="dxa"/>
            <w:vAlign w:val="top"/>
          </w:tcPr>
          <w:p w14:paraId="2FB0A97C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查看卫星预报、频谱、任务状态和已授权的历史结果，不改变设备配置。</w:t>
            </w:r>
          </w:p>
        </w:tc>
      </w:tr>
      <w:tr w14:paraId="7F3FC67D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AFBFC"/>
            <w:vAlign w:val="top"/>
          </w:tcPr>
          <w:p w14:paraId="4418CEC4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操作员</w:t>
            </w:r>
          </w:p>
        </w:tc>
        <w:tc>
          <w:tcPr>
            <w:tcW w:w="7260" w:type="dxa"/>
            <w:shd w:val="clear" w:color="auto" w:fill="FAFBFC"/>
            <w:vAlign w:val="top"/>
          </w:tcPr>
          <w:p w14:paraId="5757F054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创建/执行接收任务、人工微调、填写任务记录；发射权限需单独授予。</w:t>
            </w:r>
          </w:p>
        </w:tc>
      </w:tr>
      <w:tr w14:paraId="635E9B9F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vAlign w:val="top"/>
          </w:tcPr>
          <w:p w14:paraId="7176E693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授权发射操作员</w:t>
            </w:r>
          </w:p>
        </w:tc>
        <w:tc>
          <w:tcPr>
            <w:tcW w:w="7260" w:type="dxa"/>
            <w:vAlign w:val="top"/>
          </w:tcPr>
          <w:p w14:paraId="0492E9ED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在资格与许可满足的条件下启用发射，执行受控通联并完成日志。</w:t>
            </w:r>
          </w:p>
        </w:tc>
      </w:tr>
      <w:tr w14:paraId="398AA702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AFBFC"/>
            <w:vAlign w:val="top"/>
          </w:tcPr>
          <w:p w14:paraId="5E8DAAC6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系统管理员</w:t>
            </w:r>
          </w:p>
        </w:tc>
        <w:tc>
          <w:tcPr>
            <w:tcW w:w="7260" w:type="dxa"/>
            <w:shd w:val="clear" w:color="auto" w:fill="FAFBFC"/>
            <w:vAlign w:val="top"/>
          </w:tcPr>
          <w:p w14:paraId="479EDCD5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维护用户、设备接口、策略、备份和系统参数；不等同于自动获得发射授权。</w:t>
            </w:r>
          </w:p>
        </w:tc>
      </w:tr>
      <w:tr w14:paraId="286758E5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vAlign w:val="top"/>
          </w:tcPr>
          <w:p w14:paraId="5924AD37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审计/管理人员</w:t>
            </w:r>
          </w:p>
        </w:tc>
        <w:tc>
          <w:tcPr>
            <w:tcW w:w="7260" w:type="dxa"/>
            <w:vAlign w:val="top"/>
          </w:tcPr>
          <w:p w14:paraId="75585D25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查看运行统计、配置变更、告警和操作日志，不能直接控制设备。</w:t>
            </w:r>
          </w:p>
        </w:tc>
      </w:tr>
    </w:tbl>
    <w:p w14:paraId="75FC6470">
      <w:pPr>
        <w:spacing w:after="20"/>
      </w:pPr>
    </w:p>
    <w:p w14:paraId="6E752D0D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7  安装部署与工程要求</w:t>
      </w:r>
    </w:p>
    <w:p w14:paraId="06B36EF9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7.1 室外天线与结构</w:t>
      </w:r>
    </w:p>
    <w:p w14:paraId="29746EEB">
      <w:pPr>
        <w:pStyle w:val="16"/>
      </w:pPr>
      <w:r>
        <w:rPr>
          <w:rFonts w:ascii="Calibri" w:hAnsi="Calibri" w:eastAsia="微软雅黑"/>
          <w:color w:val="243444"/>
          <w:sz w:val="21"/>
        </w:rPr>
        <w:t>根据屋面结构、风环境、天线迎风面积和转台载荷进行结构校核，固定方式由具备相应能力的专业人员确认。</w:t>
      </w:r>
    </w:p>
    <w:p w14:paraId="5B6770C0">
      <w:pPr>
        <w:pStyle w:val="16"/>
      </w:pPr>
      <w:r>
        <w:rPr>
          <w:rFonts w:ascii="Calibri" w:hAnsi="Calibri" w:eastAsia="微软雅黑"/>
          <w:color w:val="243444"/>
          <w:sz w:val="21"/>
        </w:rPr>
        <w:t>天线旋转包络内不得存在女儿墙、避雷构件、线缆或其他障碍物，检修人员不得进入运动区。</w:t>
      </w:r>
    </w:p>
    <w:p w14:paraId="1FDC8243">
      <w:pPr>
        <w:pStyle w:val="16"/>
      </w:pPr>
      <w:r>
        <w:rPr>
          <w:rFonts w:ascii="Calibri" w:hAnsi="Calibri" w:eastAsia="微软雅黑"/>
          <w:color w:val="243444"/>
          <w:sz w:val="21"/>
        </w:rPr>
        <w:t>设置机械与软件双重限位，归位方向应避开不安全姿态；线缆长度须覆盖全行程且不缠绕。</w:t>
      </w:r>
    </w:p>
    <w:p w14:paraId="6E259286">
      <w:pPr>
        <w:pStyle w:val="16"/>
      </w:pPr>
      <w:r>
        <w:rPr>
          <w:rFonts w:ascii="Calibri" w:hAnsi="Calibri" w:eastAsia="微软雅黑"/>
          <w:color w:val="243444"/>
          <w:sz w:val="21"/>
        </w:rPr>
        <w:t>紧固件、支撑件和户外连接件应适应长期日晒、温差、雨雪及腐蚀环境，建立定期复紧计划。</w:t>
      </w:r>
    </w:p>
    <w:p w14:paraId="086DE87E">
      <w:pPr>
        <w:pStyle w:val="16"/>
      </w:pPr>
      <w:r>
        <w:rPr>
          <w:rFonts w:ascii="Calibri" w:hAnsi="Calibri" w:eastAsia="微软雅黑"/>
          <w:color w:val="243444"/>
          <w:sz w:val="21"/>
        </w:rPr>
        <w:t>临时压载方式转为长期运行前，应完成载荷、滑移和倾覆风险复核，避免损伤屋面防水层。</w:t>
      </w:r>
    </w:p>
    <w:p w14:paraId="3F539E79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7.2 馈线、防水与电磁兼容</w:t>
      </w:r>
    </w:p>
    <w:p w14:paraId="4C7F3201">
      <w:pPr>
        <w:pStyle w:val="16"/>
      </w:pPr>
      <w:r>
        <w:rPr>
          <w:rFonts w:ascii="Calibri" w:hAnsi="Calibri" w:eastAsia="微软雅黑"/>
          <w:color w:val="243444"/>
          <w:sz w:val="21"/>
        </w:rPr>
        <w:t>馈线尽量短直，按频段和长度核算损耗；收发端、天线端及中间接头统一编号。</w:t>
      </w:r>
    </w:p>
    <w:p w14:paraId="6C43DCBD">
      <w:pPr>
        <w:pStyle w:val="16"/>
      </w:pPr>
      <w:r>
        <w:rPr>
          <w:rFonts w:ascii="Calibri" w:hAnsi="Calibri" w:eastAsia="微软雅黑"/>
          <w:color w:val="243444"/>
          <w:sz w:val="21"/>
        </w:rPr>
        <w:t>户外接头采用分层密封，线缆进入机箱或建筑前设置滴水弯并做拉力释放。</w:t>
      </w:r>
    </w:p>
    <w:p w14:paraId="59222A79">
      <w:pPr>
        <w:pStyle w:val="16"/>
      </w:pPr>
      <w:r>
        <w:rPr>
          <w:rFonts w:ascii="Calibri" w:hAnsi="Calibri" w:eastAsia="微软雅黑"/>
          <w:color w:val="243444"/>
          <w:sz w:val="21"/>
        </w:rPr>
        <w:t>低噪声前端宜靠近天线布置，同时考虑过载、直流馈电、旁路和维护可达性。</w:t>
      </w:r>
    </w:p>
    <w:p w14:paraId="592591C3">
      <w:pPr>
        <w:pStyle w:val="16"/>
      </w:pPr>
      <w:r>
        <w:rPr>
          <w:rFonts w:ascii="Calibri" w:hAnsi="Calibri" w:eastAsia="微软雅黑"/>
          <w:color w:val="243444"/>
          <w:sz w:val="21"/>
        </w:rPr>
        <w:t>在复杂电磁环境中，通过频谱普查确定必要的带通、陷波、共模抑制和设备隔离措施。</w:t>
      </w:r>
    </w:p>
    <w:p w14:paraId="54460CF7">
      <w:pPr>
        <w:pStyle w:val="16"/>
      </w:pPr>
      <w:r>
        <w:rPr>
          <w:rFonts w:ascii="Calibri" w:hAnsi="Calibri" w:eastAsia="微软雅黑"/>
          <w:color w:val="243444"/>
          <w:sz w:val="21"/>
        </w:rPr>
        <w:t>发射链路与宽带接收链路同时存在时，应验证收发隔离和防止前端损坏的保护逻辑。</w:t>
      </w:r>
    </w:p>
    <w:p w14:paraId="319A3733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7.3 防雷接地与供电</w:t>
      </w:r>
    </w:p>
    <w:p w14:paraId="3F0FCB4B">
      <w:pPr>
        <w:pStyle w:val="16"/>
      </w:pPr>
      <w:r>
        <w:rPr>
          <w:rFonts w:ascii="Calibri" w:hAnsi="Calibri" w:eastAsia="微软雅黑"/>
          <w:color w:val="243444"/>
          <w:sz w:val="21"/>
        </w:rPr>
        <w:t>天线杆、转台、户外机箱、同轴外导体保护与建筑防雷/等电位系统的连接方案应由专业人员设计确认。</w:t>
      </w:r>
    </w:p>
    <w:p w14:paraId="2C8B0101">
      <w:pPr>
        <w:pStyle w:val="16"/>
      </w:pPr>
      <w:r>
        <w:rPr>
          <w:rFonts w:ascii="Calibri" w:hAnsi="Calibri" w:eastAsia="微软雅黑"/>
          <w:color w:val="243444"/>
          <w:sz w:val="21"/>
        </w:rPr>
        <w:t>馈线进入室内前设置适用频段的浪涌保护并就近接地，保护器件须可检查、可更换。</w:t>
      </w:r>
    </w:p>
    <w:p w14:paraId="32352B81">
      <w:pPr>
        <w:pStyle w:val="16"/>
      </w:pPr>
      <w:r>
        <w:rPr>
          <w:rFonts w:ascii="Calibri" w:hAnsi="Calibri" w:eastAsia="微软雅黑"/>
          <w:color w:val="243444"/>
          <w:sz w:val="21"/>
        </w:rPr>
        <w:t>设备按功能分路供电并设置过流、漏电和浪涌保护；转台驱动应具备可见、可触达的紧急断电手段。</w:t>
      </w:r>
    </w:p>
    <w:p w14:paraId="701F4FF9">
      <w:pPr>
        <w:pStyle w:val="16"/>
      </w:pPr>
      <w:r>
        <w:rPr>
          <w:rFonts w:ascii="Calibri" w:hAnsi="Calibri" w:eastAsia="微软雅黑"/>
          <w:color w:val="243444"/>
          <w:sz w:val="21"/>
        </w:rPr>
        <w:t>控制主机、网络和关键接收设备可配置短时后备电源，保证异常断电时保存数据并安全退出。</w:t>
      </w:r>
    </w:p>
    <w:p w14:paraId="237AA35E">
      <w:pPr>
        <w:pStyle w:val="16"/>
      </w:pPr>
      <w:r>
        <w:rPr>
          <w:rFonts w:ascii="Calibri" w:hAnsi="Calibri" w:eastAsia="微软雅黑"/>
          <w:color w:val="243444"/>
          <w:sz w:val="21"/>
        </w:rPr>
        <w:t>雷暴、强风、结冰等条件下的停机、断开和复机步骤应写入现场运行规程。</w:t>
      </w:r>
    </w:p>
    <w:p w14:paraId="0467E306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7.4 部署实施步骤</w:t>
      </w:r>
    </w:p>
    <w:p w14:paraId="6068854A">
      <w:pPr>
        <w:spacing w:after="100"/>
        <w:ind w:left="230" w:hanging="230"/>
      </w:pPr>
      <w:r>
        <w:rPr>
          <w:rFonts w:ascii="Calibri" w:hAnsi="Calibri" w:eastAsia="微软雅黑"/>
          <w:b/>
          <w:color w:val="2E74B5"/>
          <w:sz w:val="21"/>
        </w:rPr>
        <w:t xml:space="preserve">01  现场勘察  </w:t>
      </w:r>
      <w:r>
        <w:rPr>
          <w:rFonts w:ascii="Calibri" w:hAnsi="Calibri" w:eastAsia="微软雅黑"/>
          <w:color w:val="243444"/>
          <w:sz w:val="21"/>
        </w:rPr>
        <w:t>确认无遮挡视野、屋面结构、路径长度、电源网络、接地条件和电磁环境。</w:t>
      </w:r>
    </w:p>
    <w:p w14:paraId="2C15D4C6">
      <w:pPr>
        <w:spacing w:after="100"/>
        <w:ind w:left="230" w:hanging="230"/>
      </w:pPr>
      <w:r>
        <w:rPr>
          <w:rFonts w:ascii="Calibri" w:hAnsi="Calibri" w:eastAsia="微软雅黑"/>
          <w:b/>
          <w:color w:val="2E74B5"/>
          <w:sz w:val="21"/>
        </w:rPr>
        <w:t xml:space="preserve">02  深化设计  </w:t>
      </w:r>
      <w:r>
        <w:rPr>
          <w:rFonts w:ascii="Calibri" w:hAnsi="Calibri" w:eastAsia="微软雅黑"/>
          <w:color w:val="243444"/>
          <w:sz w:val="21"/>
        </w:rPr>
        <w:t>完成系统图、安装图、线缆表、供电保护、接口表、链路预算和安全边界。</w:t>
      </w:r>
    </w:p>
    <w:p w14:paraId="65BBF6EA">
      <w:pPr>
        <w:spacing w:after="100"/>
        <w:ind w:left="230" w:hanging="230"/>
      </w:pPr>
      <w:r>
        <w:rPr>
          <w:rFonts w:ascii="Calibri" w:hAnsi="Calibri" w:eastAsia="微软雅黑"/>
          <w:b/>
          <w:color w:val="2E74B5"/>
          <w:sz w:val="21"/>
        </w:rPr>
        <w:t xml:space="preserve">03  安装施工  </w:t>
      </w:r>
      <w:r>
        <w:rPr>
          <w:rFonts w:ascii="Calibri" w:hAnsi="Calibri" w:eastAsia="微软雅黑"/>
          <w:color w:val="243444"/>
          <w:sz w:val="21"/>
        </w:rPr>
        <w:t>按图完成结构、天线、转台、机箱、馈线、控制线、电源和接地安装。</w:t>
      </w:r>
    </w:p>
    <w:p w14:paraId="779FD05A">
      <w:pPr>
        <w:spacing w:after="100"/>
        <w:ind w:left="230" w:hanging="230"/>
      </w:pPr>
      <w:r>
        <w:rPr>
          <w:rFonts w:ascii="Calibri" w:hAnsi="Calibri" w:eastAsia="微软雅黑"/>
          <w:b/>
          <w:color w:val="2E74B5"/>
          <w:sz w:val="21"/>
        </w:rPr>
        <w:t xml:space="preserve">04  单机检查  </w:t>
      </w:r>
      <w:r>
        <w:rPr>
          <w:rFonts w:ascii="Calibri" w:hAnsi="Calibri" w:eastAsia="微软雅黑"/>
          <w:color w:val="243444"/>
          <w:sz w:val="21"/>
        </w:rPr>
        <w:t>分别验证绝缘/接地、供电、控制通信、角度反馈、收发和软件接口。</w:t>
      </w:r>
    </w:p>
    <w:p w14:paraId="445D52C0">
      <w:pPr>
        <w:spacing w:after="100"/>
        <w:ind w:left="230" w:hanging="230"/>
      </w:pPr>
      <w:r>
        <w:rPr>
          <w:rFonts w:ascii="Calibri" w:hAnsi="Calibri" w:eastAsia="微软雅黑"/>
          <w:b/>
          <w:color w:val="2E74B5"/>
          <w:sz w:val="21"/>
        </w:rPr>
        <w:t xml:space="preserve">05  系统联调  </w:t>
      </w:r>
      <w:r>
        <w:rPr>
          <w:rFonts w:ascii="Calibri" w:hAnsi="Calibri" w:eastAsia="微软雅黑"/>
          <w:color w:val="243444"/>
          <w:sz w:val="21"/>
        </w:rPr>
        <w:t>校准方位/仰角、验证多普勒方向和任务流程，处理干扰和机械包络问题。</w:t>
      </w:r>
    </w:p>
    <w:p w14:paraId="379088A1">
      <w:pPr>
        <w:spacing w:after="100"/>
        <w:ind w:left="230" w:hanging="230"/>
      </w:pPr>
      <w:r>
        <w:rPr>
          <w:rFonts w:ascii="Calibri" w:hAnsi="Calibri" w:eastAsia="微软雅黑"/>
          <w:b/>
          <w:color w:val="2E74B5"/>
          <w:sz w:val="21"/>
        </w:rPr>
        <w:t xml:space="preserve">06  试运行  </w:t>
      </w:r>
      <w:r>
        <w:rPr>
          <w:rFonts w:ascii="Calibri" w:hAnsi="Calibri" w:eastAsia="微软雅黑"/>
          <w:color w:val="243444"/>
          <w:sz w:val="21"/>
        </w:rPr>
        <w:t>选取若干公开、可预报的卫星过境开展接收任务，积累日志并优化参数。</w:t>
      </w:r>
    </w:p>
    <w:p w14:paraId="1C3A4F82">
      <w:pPr>
        <w:spacing w:after="100"/>
        <w:ind w:left="230" w:hanging="230"/>
      </w:pPr>
      <w:r>
        <w:rPr>
          <w:rFonts w:ascii="Calibri" w:hAnsi="Calibri" w:eastAsia="微软雅黑"/>
          <w:b/>
          <w:color w:val="2E74B5"/>
          <w:sz w:val="21"/>
        </w:rPr>
        <w:t xml:space="preserve">07  验收移交  </w:t>
      </w:r>
      <w:r>
        <w:rPr>
          <w:rFonts w:ascii="Calibri" w:hAnsi="Calibri" w:eastAsia="微软雅黑"/>
          <w:color w:val="243444"/>
          <w:sz w:val="21"/>
        </w:rPr>
        <w:t>按验收用例演示、提交资料、培训人员，并关闭遗留问题。</w:t>
      </w:r>
    </w:p>
    <w:p w14:paraId="4E894EB6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8  安全、合规与风险控制</w:t>
      </w:r>
    </w:p>
    <w:p w14:paraId="0C7A85BB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8.1 无线电运行边界</w:t>
      </w:r>
    </w:p>
    <w:p w14:paraId="63FA405E">
      <w:pPr>
        <w:pStyle w:val="16"/>
      </w:pPr>
      <w:r>
        <w:rPr>
          <w:rFonts w:ascii="Calibri" w:hAnsi="Calibri" w:eastAsia="微软雅黑"/>
          <w:color w:val="243444"/>
          <w:sz w:val="21"/>
        </w:rPr>
        <w:t>系统仅用于符合国家无线电管理规定及业余业务属性的活动，操作人员和台站条件应满足现行许可要求。</w:t>
      </w:r>
    </w:p>
    <w:p w14:paraId="565DA62A">
      <w:pPr>
        <w:pStyle w:val="16"/>
      </w:pPr>
      <w:r>
        <w:rPr>
          <w:rFonts w:ascii="Calibri" w:hAnsi="Calibri" w:eastAsia="微软雅黑"/>
          <w:color w:val="243444"/>
          <w:sz w:val="21"/>
        </w:rPr>
        <w:t>使用的频率、模式、带宽、功率、呼号和通联内容应在授权范围内，并符合目标卫星公布的运行规则。</w:t>
      </w:r>
    </w:p>
    <w:p w14:paraId="32F77A97">
      <w:pPr>
        <w:pStyle w:val="16"/>
      </w:pPr>
      <w:r>
        <w:rPr>
          <w:rFonts w:ascii="Calibri" w:hAnsi="Calibri" w:eastAsia="微软雅黑"/>
          <w:color w:val="243444"/>
          <w:sz w:val="21"/>
        </w:rPr>
        <w:t>不得因具备技术能力而默认开放发射；自动发射、无人值守发射或特殊数据业务须单独评估其合规性。</w:t>
      </w:r>
    </w:p>
    <w:p w14:paraId="612511D6">
      <w:pPr>
        <w:pStyle w:val="16"/>
      </w:pPr>
      <w:r>
        <w:rPr>
          <w:rFonts w:ascii="Calibri" w:hAnsi="Calibri" w:eastAsia="微软雅黑"/>
          <w:color w:val="243444"/>
          <w:sz w:val="21"/>
        </w:rPr>
        <w:t>涉及卫星控制、指令上行或非公开业务时，不应以普通业余通联权限替代任务授权。</w:t>
      </w:r>
    </w:p>
    <w:p w14:paraId="07CA4D70">
      <w:pPr>
        <w:pStyle w:val="16"/>
      </w:pPr>
      <w:r>
        <w:rPr>
          <w:rFonts w:ascii="Calibri" w:hAnsi="Calibri" w:eastAsia="微软雅黑"/>
          <w:color w:val="243444"/>
          <w:sz w:val="21"/>
        </w:rPr>
        <w:t>法规、许可或空间电台运行规则存在差异时，以主管部门要求和任务方正式文件为准。</w:t>
      </w:r>
    </w:p>
    <w:p w14:paraId="2777ABB7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8.2 主要风险与控制措施</w:t>
      </w:r>
    </w:p>
    <w:tbl>
      <w:tblPr>
        <w:tblStyle w:val="32"/>
        <w:tblW w:w="9360" w:type="dxa"/>
        <w:tblInd w:w="120" w:type="dxa"/>
        <w:tblBorders>
          <w:top w:val="single" w:color="CAD6E0" w:sz="6" w:space="0"/>
          <w:left w:val="single" w:color="CAD6E0" w:sz="6" w:space="0"/>
          <w:bottom w:val="single" w:color="CAD6E0" w:sz="6" w:space="0"/>
          <w:right w:val="single" w:color="CAD6E0" w:sz="6" w:space="0"/>
          <w:insideH w:val="single" w:color="CAD6E0" w:sz="6" w:space="0"/>
          <w:insideV w:val="single" w:color="CAD6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100"/>
        <w:gridCol w:w="4360"/>
      </w:tblGrid>
      <w:tr w14:paraId="44CE4836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1BFC5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6"/>
              </w:rPr>
              <w:t>风险</w:t>
            </w:r>
          </w:p>
        </w:tc>
        <w:tc>
          <w:tcPr>
            <w:tcW w:w="31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FCD0B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6"/>
              </w:rPr>
              <w:t>可能影响</w:t>
            </w:r>
          </w:p>
        </w:tc>
        <w:tc>
          <w:tcPr>
            <w:tcW w:w="43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480FD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6"/>
              </w:rPr>
              <w:t>控制措施</w:t>
            </w:r>
          </w:p>
        </w:tc>
      </w:tr>
      <w:tr w14:paraId="7725D5C5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vAlign w:val="top"/>
          </w:tcPr>
          <w:p w14:paraId="1BB57F2E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强风或结构失稳</w:t>
            </w:r>
          </w:p>
        </w:tc>
        <w:tc>
          <w:tcPr>
            <w:tcW w:w="3100" w:type="dxa"/>
            <w:vAlign w:val="top"/>
          </w:tcPr>
          <w:p w14:paraId="0AA99C6D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天线、转台或支撑损坏，造成人身和财产风险。</w:t>
            </w:r>
          </w:p>
        </w:tc>
        <w:tc>
          <w:tcPr>
            <w:tcW w:w="4360" w:type="dxa"/>
            <w:vAlign w:val="top"/>
          </w:tcPr>
          <w:p w14:paraId="6087B7C7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结构校核、可靠固定、气象停机阈值、巡检与复紧。</w:t>
            </w:r>
          </w:p>
        </w:tc>
      </w:tr>
      <w:tr w14:paraId="297C4D05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AFBFC"/>
            <w:vAlign w:val="top"/>
          </w:tcPr>
          <w:p w14:paraId="674F86D2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雷击与浪涌</w:t>
            </w:r>
          </w:p>
        </w:tc>
        <w:tc>
          <w:tcPr>
            <w:tcW w:w="3100" w:type="dxa"/>
            <w:shd w:val="clear" w:color="auto" w:fill="FAFBFC"/>
            <w:vAlign w:val="top"/>
          </w:tcPr>
          <w:p w14:paraId="1EC731AB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设备损坏、火灾或人员触电。</w:t>
            </w:r>
          </w:p>
        </w:tc>
        <w:tc>
          <w:tcPr>
            <w:tcW w:w="4360" w:type="dxa"/>
            <w:shd w:val="clear" w:color="auto" w:fill="FAFBFC"/>
            <w:vAlign w:val="top"/>
          </w:tcPr>
          <w:p w14:paraId="5659D2F7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专业防雷接地、馈线浪涌保护、雷暴停机和断开流程。</w:t>
            </w:r>
          </w:p>
        </w:tc>
      </w:tr>
      <w:tr w14:paraId="37A8A356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vAlign w:val="top"/>
          </w:tcPr>
          <w:p w14:paraId="31393352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馈线进水/损耗异常</w:t>
            </w:r>
          </w:p>
        </w:tc>
        <w:tc>
          <w:tcPr>
            <w:tcW w:w="3100" w:type="dxa"/>
            <w:vAlign w:val="top"/>
          </w:tcPr>
          <w:p w14:paraId="598A6DA0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接收灵敏度下降、驻波升高或发射端受损。</w:t>
            </w:r>
          </w:p>
        </w:tc>
        <w:tc>
          <w:tcPr>
            <w:tcW w:w="4360" w:type="dxa"/>
            <w:vAlign w:val="top"/>
          </w:tcPr>
          <w:p w14:paraId="6E83219D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分层密封、滴水弯、接头编号和定期损耗/驻波检查。</w:t>
            </w:r>
          </w:p>
        </w:tc>
      </w:tr>
      <w:tr w14:paraId="7B5BAD88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AFBFC"/>
            <w:vAlign w:val="top"/>
          </w:tcPr>
          <w:p w14:paraId="58DE7CBB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转台越限或缠线</w:t>
            </w:r>
          </w:p>
        </w:tc>
        <w:tc>
          <w:tcPr>
            <w:tcW w:w="3100" w:type="dxa"/>
            <w:shd w:val="clear" w:color="auto" w:fill="FAFBFC"/>
            <w:vAlign w:val="top"/>
          </w:tcPr>
          <w:p w14:paraId="41C07448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机械卡滞、线缆拉断。</w:t>
            </w:r>
          </w:p>
        </w:tc>
        <w:tc>
          <w:tcPr>
            <w:tcW w:w="4360" w:type="dxa"/>
            <w:shd w:val="clear" w:color="auto" w:fill="FAFBFC"/>
            <w:vAlign w:val="top"/>
          </w:tcPr>
          <w:p w14:paraId="537C76F3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机械+软件限位、包络检查、归位策略和人工急停。</w:t>
            </w:r>
          </w:p>
        </w:tc>
      </w:tr>
      <w:tr w14:paraId="1912C475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vAlign w:val="top"/>
          </w:tcPr>
          <w:p w14:paraId="0F0EF769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前端过载</w:t>
            </w:r>
          </w:p>
        </w:tc>
        <w:tc>
          <w:tcPr>
            <w:tcW w:w="3100" w:type="dxa"/>
            <w:vAlign w:val="top"/>
          </w:tcPr>
          <w:p w14:paraId="1E359C7D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弱信号被淹没或接收器损坏。</w:t>
            </w:r>
          </w:p>
        </w:tc>
        <w:tc>
          <w:tcPr>
            <w:tcW w:w="4360" w:type="dxa"/>
            <w:vAlign w:val="top"/>
          </w:tcPr>
          <w:p w14:paraId="082034B9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电磁环境普查、滤波/衰减、收发隔离和保护联锁。</w:t>
            </w:r>
          </w:p>
        </w:tc>
      </w:tr>
      <w:tr w14:paraId="652F02B5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AFBFC"/>
            <w:vAlign w:val="top"/>
          </w:tcPr>
          <w:p w14:paraId="25D3B5D6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轨道数据或时间错误</w:t>
            </w:r>
          </w:p>
        </w:tc>
        <w:tc>
          <w:tcPr>
            <w:tcW w:w="3100" w:type="dxa"/>
            <w:shd w:val="clear" w:color="auto" w:fill="FAFBFC"/>
            <w:vAlign w:val="top"/>
          </w:tcPr>
          <w:p w14:paraId="6B4248F5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错过目标、指向错误、频率补偿错误。</w:t>
            </w:r>
          </w:p>
        </w:tc>
        <w:tc>
          <w:tcPr>
            <w:tcW w:w="4360" w:type="dxa"/>
            <w:shd w:val="clear" w:color="auto" w:fill="FAFBFC"/>
            <w:vAlign w:val="top"/>
          </w:tcPr>
          <w:p w14:paraId="1F385C37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数据时效校验、可靠授时、任务前检查和异常停止。</w:t>
            </w:r>
          </w:p>
        </w:tc>
      </w:tr>
      <w:tr w14:paraId="4D1BDDCD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vAlign w:val="top"/>
          </w:tcPr>
          <w:p w14:paraId="247DCA89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误发射/越权发射</w:t>
            </w:r>
          </w:p>
        </w:tc>
        <w:tc>
          <w:tcPr>
            <w:tcW w:w="3100" w:type="dxa"/>
            <w:vAlign w:val="top"/>
          </w:tcPr>
          <w:p w14:paraId="2C0EB0F6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干扰他人、违反许可或任务规则。</w:t>
            </w:r>
          </w:p>
        </w:tc>
        <w:tc>
          <w:tcPr>
            <w:tcW w:w="4360" w:type="dxa"/>
            <w:vAlign w:val="top"/>
          </w:tcPr>
          <w:p w14:paraId="28DA405E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默认禁发、角色权限、频段白名单、人工确认和全程审计。</w:t>
            </w:r>
          </w:p>
        </w:tc>
      </w:tr>
      <w:tr w14:paraId="7FA38FA3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AFBFC"/>
            <w:vAlign w:val="top"/>
          </w:tcPr>
          <w:p w14:paraId="76FB6690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数据丢失</w:t>
            </w:r>
          </w:p>
        </w:tc>
        <w:tc>
          <w:tcPr>
            <w:tcW w:w="3100" w:type="dxa"/>
            <w:shd w:val="clear" w:color="auto" w:fill="FAFBFC"/>
            <w:vAlign w:val="top"/>
          </w:tcPr>
          <w:p w14:paraId="090F8B55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任务无法复盘或成果缺失。</w:t>
            </w:r>
          </w:p>
        </w:tc>
        <w:tc>
          <w:tcPr>
            <w:tcW w:w="4360" w:type="dxa"/>
            <w:shd w:val="clear" w:color="auto" w:fill="FAFBFC"/>
            <w:vAlign w:val="top"/>
          </w:tcPr>
          <w:p w14:paraId="2BF5138A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6"/>
              </w:rPr>
              <w:t>容量告警、周期备份、重要任务双副本和恢复演练。</w:t>
            </w:r>
          </w:p>
        </w:tc>
      </w:tr>
    </w:tbl>
    <w:p w14:paraId="1E4CED3B">
      <w:pPr>
        <w:spacing w:after="20"/>
      </w:pPr>
    </w:p>
    <w:p w14:paraId="37C181B6">
      <w:pPr>
        <w:pStyle w:val="3"/>
      </w:pPr>
      <w:r>
        <w:rPr>
          <w:rFonts w:hint="eastAsia" w:ascii="Calibri" w:hAnsi="Calibri" w:eastAsia="微软雅黑"/>
          <w:b/>
          <w:color w:val="2E74B5"/>
          <w:sz w:val="32"/>
          <w:lang w:val="en-US" w:eastAsia="zh-CN"/>
        </w:rPr>
        <w:t>9</w:t>
      </w:r>
      <w:r>
        <w:rPr>
          <w:rFonts w:ascii="Calibri" w:hAnsi="Calibri" w:eastAsia="微软雅黑"/>
          <w:b/>
          <w:color w:val="2E74B5"/>
          <w:sz w:val="32"/>
        </w:rPr>
        <w:t xml:space="preserve">  运维保障与培训</w:t>
      </w:r>
    </w:p>
    <w:p w14:paraId="164C7BAB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en-US" w:eastAsia="zh-CN"/>
        </w:rPr>
        <w:t>9</w:t>
      </w:r>
      <w:r>
        <w:rPr>
          <w:rFonts w:ascii="Calibri" w:hAnsi="Calibri" w:eastAsia="微软雅黑"/>
          <w:b/>
          <w:color w:val="2E74B5"/>
          <w:sz w:val="26"/>
        </w:rPr>
        <w:t>.1 日常运维建议</w:t>
      </w:r>
    </w:p>
    <w:tbl>
      <w:tblPr>
        <w:tblStyle w:val="32"/>
        <w:tblW w:w="9360" w:type="dxa"/>
        <w:tblInd w:w="120" w:type="dxa"/>
        <w:tblBorders>
          <w:top w:val="single" w:color="CAD6E0" w:sz="6" w:space="0"/>
          <w:left w:val="single" w:color="CAD6E0" w:sz="6" w:space="0"/>
          <w:bottom w:val="single" w:color="CAD6E0" w:sz="6" w:space="0"/>
          <w:right w:val="single" w:color="CAD6E0" w:sz="6" w:space="0"/>
          <w:insideH w:val="single" w:color="CAD6E0" w:sz="6" w:space="0"/>
          <w:insideV w:val="single" w:color="CAD6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6F2E60D1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71A30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8"/>
              </w:rPr>
              <w:t>周期</w:t>
            </w:r>
          </w:p>
        </w:tc>
        <w:tc>
          <w:tcPr>
            <w:tcW w:w="72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FD13C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8"/>
              </w:rPr>
              <w:t>建议工作</w:t>
            </w:r>
          </w:p>
        </w:tc>
      </w:tr>
      <w:tr w14:paraId="3F28DB7F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vAlign w:val="top"/>
          </w:tcPr>
          <w:p w14:paraId="7CFEA21A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每次任务前</w:t>
            </w:r>
          </w:p>
        </w:tc>
        <w:tc>
          <w:tcPr>
            <w:tcW w:w="7260" w:type="dxa"/>
            <w:vAlign w:val="top"/>
          </w:tcPr>
          <w:p w14:paraId="7FCDB339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检查天气、轨道数据、系统时间、设备在线、磁盘空间、转台包络及禁发状态。</w:t>
            </w:r>
          </w:p>
        </w:tc>
      </w:tr>
      <w:tr w14:paraId="123A9F45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AFBFC"/>
            <w:vAlign w:val="top"/>
          </w:tcPr>
          <w:p w14:paraId="53CD17F4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每次任务后</w:t>
            </w:r>
          </w:p>
        </w:tc>
        <w:tc>
          <w:tcPr>
            <w:tcW w:w="7260" w:type="dxa"/>
            <w:shd w:val="clear" w:color="auto" w:fill="FAFBFC"/>
            <w:vAlign w:val="top"/>
          </w:tcPr>
          <w:p w14:paraId="6A865221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确认天线归位、发射关闭、任务文件完整，补充备注并处理告警。</w:t>
            </w:r>
          </w:p>
        </w:tc>
      </w:tr>
      <w:tr w14:paraId="777BA62A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vAlign w:val="top"/>
          </w:tcPr>
          <w:p w14:paraId="24D8DD56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每月</w:t>
            </w:r>
          </w:p>
        </w:tc>
        <w:tc>
          <w:tcPr>
            <w:tcW w:w="7260" w:type="dxa"/>
            <w:vAlign w:val="top"/>
          </w:tcPr>
          <w:p w14:paraId="425B6A27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检查户外接头、线缆固定、结构紧固、机箱密封/散热、日志容量和备份状态。</w:t>
            </w:r>
          </w:p>
        </w:tc>
      </w:tr>
      <w:tr w14:paraId="38B5FE1C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AFBFC"/>
            <w:vAlign w:val="top"/>
          </w:tcPr>
          <w:p w14:paraId="31364172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每季度或季节变化后</w:t>
            </w:r>
          </w:p>
        </w:tc>
        <w:tc>
          <w:tcPr>
            <w:tcW w:w="7260" w:type="dxa"/>
            <w:shd w:val="clear" w:color="auto" w:fill="FAFBFC"/>
            <w:vAlign w:val="top"/>
          </w:tcPr>
          <w:p w14:paraId="210E61E2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复核角度校准、限位、馈线/接头性能、接地连接及应急断电。</w:t>
            </w:r>
          </w:p>
        </w:tc>
      </w:tr>
      <w:tr w14:paraId="46B1BC86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vAlign w:val="top"/>
          </w:tcPr>
          <w:p w14:paraId="5B6602CC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强风、雷暴、冰雪或施工后</w:t>
            </w:r>
          </w:p>
        </w:tc>
        <w:tc>
          <w:tcPr>
            <w:tcW w:w="7260" w:type="dxa"/>
            <w:vAlign w:val="top"/>
          </w:tcPr>
          <w:p w14:paraId="52D4AA57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开展专项外观、结构、馈线、防水和接地检查，确认无异常后复机。</w:t>
            </w:r>
          </w:p>
        </w:tc>
      </w:tr>
      <w:tr w14:paraId="45943F11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AFBFC"/>
            <w:vAlign w:val="top"/>
          </w:tcPr>
          <w:p w14:paraId="513BAE97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软件/配置变更后</w:t>
            </w:r>
          </w:p>
        </w:tc>
        <w:tc>
          <w:tcPr>
            <w:tcW w:w="7260" w:type="dxa"/>
            <w:shd w:val="clear" w:color="auto" w:fill="FAFBFC"/>
            <w:vAlign w:val="top"/>
          </w:tcPr>
          <w:p w14:paraId="43DF4826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执行回归用例，保存版本、变更内容、操作人和回退方式。</w:t>
            </w:r>
          </w:p>
        </w:tc>
      </w:tr>
    </w:tbl>
    <w:p w14:paraId="054E9BAA">
      <w:pPr>
        <w:spacing w:after="20"/>
      </w:pPr>
    </w:p>
    <w:p w14:paraId="1C1C54A3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en-US" w:eastAsia="zh-CN"/>
        </w:rPr>
        <w:t>9</w:t>
      </w:r>
      <w:r>
        <w:rPr>
          <w:rFonts w:ascii="Calibri" w:hAnsi="Calibri" w:eastAsia="微软雅黑"/>
          <w:b/>
          <w:color w:val="2E74B5"/>
          <w:sz w:val="26"/>
        </w:rPr>
        <w:t>.2 培训内容</w:t>
      </w:r>
    </w:p>
    <w:p w14:paraId="0EC85731">
      <w:pPr>
        <w:pStyle w:val="16"/>
      </w:pPr>
      <w:r>
        <w:rPr>
          <w:rFonts w:ascii="Calibri" w:hAnsi="Calibri" w:eastAsia="微软雅黑"/>
          <w:color w:val="243444"/>
          <w:sz w:val="21"/>
        </w:rPr>
        <w:t>业余卫星基础、过境几何、频率与多普勒、极化及链路预算概念。</w:t>
      </w:r>
    </w:p>
    <w:p w14:paraId="6267730E">
      <w:pPr>
        <w:pStyle w:val="16"/>
      </w:pPr>
      <w:r>
        <w:rPr>
          <w:rFonts w:ascii="Calibri" w:hAnsi="Calibri" w:eastAsia="微软雅黑"/>
          <w:color w:val="243444"/>
          <w:sz w:val="21"/>
        </w:rPr>
        <w:t>卫星库、轨道数据、任务计划、自动跟踪、频谱和解码软件的操作。</w:t>
      </w:r>
    </w:p>
    <w:p w14:paraId="4BB39030">
      <w:pPr>
        <w:pStyle w:val="16"/>
      </w:pPr>
      <w:r>
        <w:rPr>
          <w:rFonts w:ascii="Calibri" w:hAnsi="Calibri" w:eastAsia="微软雅黑"/>
          <w:color w:val="243444"/>
          <w:sz w:val="21"/>
        </w:rPr>
        <w:t>人工控制、发射授权、呼号与日志、业务规则和常见合规边界。</w:t>
      </w:r>
    </w:p>
    <w:p w14:paraId="4A726312">
      <w:pPr>
        <w:pStyle w:val="16"/>
      </w:pPr>
      <w:r>
        <w:rPr>
          <w:rFonts w:ascii="Calibri" w:hAnsi="Calibri" w:eastAsia="微软雅黑"/>
          <w:color w:val="243444"/>
          <w:sz w:val="21"/>
        </w:rPr>
        <w:t>转台限位、急停、恶劣天气停机、防雷接地与屋面作业安全。</w:t>
      </w:r>
    </w:p>
    <w:p w14:paraId="4FADFAD6">
      <w:pPr>
        <w:pStyle w:val="16"/>
      </w:pPr>
      <w:r>
        <w:rPr>
          <w:rFonts w:ascii="Calibri" w:hAnsi="Calibri" w:eastAsia="微软雅黑"/>
          <w:color w:val="243444"/>
          <w:sz w:val="21"/>
        </w:rPr>
        <w:t>常见故障定位：未捕获、低信噪比、控制失联、过载、数据未保存。</w:t>
      </w:r>
    </w:p>
    <w:p w14:paraId="147DD550">
      <w:pPr>
        <w:pStyle w:val="16"/>
      </w:pPr>
      <w:r>
        <w:rPr>
          <w:rFonts w:ascii="Calibri" w:hAnsi="Calibri" w:eastAsia="微软雅黑"/>
          <w:color w:val="243444"/>
          <w:sz w:val="21"/>
        </w:rPr>
        <w:t>备份恢复、配置版本管理、验收证据和运维记录填写。</w:t>
      </w:r>
    </w:p>
    <w:p w14:paraId="26FB3FB4">
      <w:pPr>
        <w:spacing w:after="20"/>
      </w:pPr>
    </w:p>
    <w:p w14:paraId="08CD240A">
      <w:r>
        <w:br w:type="page"/>
      </w:r>
    </w:p>
    <w:p w14:paraId="07AD469D">
      <w:pPr>
        <w:spacing w:after="20"/>
      </w:pPr>
      <w:bookmarkStart w:id="0" w:name="_GoBack"/>
      <w:bookmarkEnd w:id="0"/>
    </w:p>
    <w:p w14:paraId="577F8E2C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附录 A  术语说明</w:t>
      </w:r>
    </w:p>
    <w:tbl>
      <w:tblPr>
        <w:tblStyle w:val="32"/>
        <w:tblW w:w="9360" w:type="dxa"/>
        <w:tblInd w:w="120" w:type="dxa"/>
        <w:tblBorders>
          <w:top w:val="single" w:color="CAD6E0" w:sz="6" w:space="0"/>
          <w:left w:val="single" w:color="CAD6E0" w:sz="6" w:space="0"/>
          <w:bottom w:val="single" w:color="CAD6E0" w:sz="6" w:space="0"/>
          <w:right w:val="single" w:color="CAD6E0" w:sz="6" w:space="0"/>
          <w:insideH w:val="single" w:color="CAD6E0" w:sz="6" w:space="0"/>
          <w:insideV w:val="single" w:color="CAD6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60A325B2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066BE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8"/>
              </w:rPr>
              <w:t>术语</w:t>
            </w:r>
          </w:p>
        </w:tc>
        <w:tc>
          <w:tcPr>
            <w:tcW w:w="72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6C518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63A5F"/>
                <w:sz w:val="18"/>
              </w:rPr>
              <w:t>说明</w:t>
            </w:r>
          </w:p>
        </w:tc>
      </w:tr>
      <w:tr w14:paraId="0AB40F15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vAlign w:val="top"/>
          </w:tcPr>
          <w:p w14:paraId="60483C25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UV 地面站</w:t>
            </w:r>
          </w:p>
        </w:tc>
        <w:tc>
          <w:tcPr>
            <w:tcW w:w="7260" w:type="dxa"/>
            <w:vAlign w:val="top"/>
          </w:tcPr>
          <w:p w14:paraId="79B58F3F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面向 UHF/VHF 组合上下行或双频工作的地面无线电站；具体上下行组合按目标卫星定义。</w:t>
            </w:r>
          </w:p>
        </w:tc>
      </w:tr>
      <w:tr w14:paraId="1BCE69BE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AFBFC"/>
            <w:vAlign w:val="top"/>
          </w:tcPr>
          <w:p w14:paraId="655DD345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方位/俯仰</w:t>
            </w:r>
          </w:p>
        </w:tc>
        <w:tc>
          <w:tcPr>
            <w:tcW w:w="7260" w:type="dxa"/>
            <w:shd w:val="clear" w:color="auto" w:fill="FAFBFC"/>
            <w:vAlign w:val="top"/>
          </w:tcPr>
          <w:p w14:paraId="33802608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描述天线水平指向和垂直仰角的两个角度。</w:t>
            </w:r>
          </w:p>
        </w:tc>
      </w:tr>
      <w:tr w14:paraId="38BECAF8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vAlign w:val="top"/>
          </w:tcPr>
          <w:p w14:paraId="392150A3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轨道根数</w:t>
            </w:r>
          </w:p>
        </w:tc>
        <w:tc>
          <w:tcPr>
            <w:tcW w:w="7260" w:type="dxa"/>
            <w:vAlign w:val="top"/>
          </w:tcPr>
          <w:p w14:paraId="512B3A0B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用于计算卫星位置与过境的轨道参数集合，需保持及时更新。</w:t>
            </w:r>
          </w:p>
        </w:tc>
      </w:tr>
      <w:tr w14:paraId="6E3490ED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AFBFC"/>
            <w:vAlign w:val="top"/>
          </w:tcPr>
          <w:p w14:paraId="6FBF5AEE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多普勒频移</w:t>
            </w:r>
          </w:p>
        </w:tc>
        <w:tc>
          <w:tcPr>
            <w:tcW w:w="7260" w:type="dxa"/>
            <w:shd w:val="clear" w:color="auto" w:fill="FAFBFC"/>
            <w:vAlign w:val="top"/>
          </w:tcPr>
          <w:p w14:paraId="670EDF92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卫星与地面站相对运动引起的接收/发射频率表观变化。</w:t>
            </w:r>
          </w:p>
        </w:tc>
      </w:tr>
      <w:tr w14:paraId="561D4A69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vAlign w:val="top"/>
          </w:tcPr>
          <w:p w14:paraId="63A570BE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链路预算</w:t>
            </w:r>
          </w:p>
        </w:tc>
        <w:tc>
          <w:tcPr>
            <w:tcW w:w="7260" w:type="dxa"/>
            <w:vAlign w:val="top"/>
          </w:tcPr>
          <w:p w14:paraId="1E883F93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综合发射功率、天线增益、路径损耗、馈线损耗、噪声和接收门限的计算。</w:t>
            </w:r>
          </w:p>
        </w:tc>
      </w:tr>
      <w:tr w14:paraId="74BD76FF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AFBFC"/>
            <w:vAlign w:val="top"/>
          </w:tcPr>
          <w:p w14:paraId="0AA59BE5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信标/遥测</w:t>
            </w:r>
          </w:p>
        </w:tc>
        <w:tc>
          <w:tcPr>
            <w:tcW w:w="7260" w:type="dxa"/>
            <w:shd w:val="clear" w:color="auto" w:fill="FAFBFC"/>
            <w:vAlign w:val="top"/>
          </w:tcPr>
          <w:p w14:paraId="05B3FA78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卫星周期性发送的识别、状态或测量数据，协议和频点由卫星任务公布。</w:t>
            </w:r>
          </w:p>
        </w:tc>
      </w:tr>
      <w:tr w14:paraId="6304AF87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vAlign w:val="top"/>
          </w:tcPr>
          <w:p w14:paraId="143CF07D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IQ 数据</w:t>
            </w:r>
          </w:p>
        </w:tc>
        <w:tc>
          <w:tcPr>
            <w:tcW w:w="7260" w:type="dxa"/>
            <w:vAlign w:val="top"/>
          </w:tcPr>
          <w:p w14:paraId="37BC910D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保留信号幅度与相位信息的复数基带采样，可用于离线解调与分析。</w:t>
            </w:r>
          </w:p>
        </w:tc>
      </w:tr>
      <w:tr w14:paraId="41676D25">
        <w:tblPrEx>
          <w:tblBorders>
            <w:top w:val="single" w:color="CAD6E0" w:sz="6" w:space="0"/>
            <w:left w:val="single" w:color="CAD6E0" w:sz="6" w:space="0"/>
            <w:bottom w:val="single" w:color="CAD6E0" w:sz="6" w:space="0"/>
            <w:right w:val="single" w:color="CAD6E0" w:sz="6" w:space="0"/>
            <w:insideH w:val="single" w:color="CAD6E0" w:sz="6" w:space="0"/>
            <w:insideV w:val="single" w:color="CAD6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AFBFC"/>
            <w:vAlign w:val="top"/>
          </w:tcPr>
          <w:p w14:paraId="0836784F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联锁</w:t>
            </w:r>
          </w:p>
        </w:tc>
        <w:tc>
          <w:tcPr>
            <w:tcW w:w="7260" w:type="dxa"/>
            <w:shd w:val="clear" w:color="auto" w:fill="FAFBFC"/>
            <w:vAlign w:val="top"/>
          </w:tcPr>
          <w:p w14:paraId="4BBC0214">
            <w:pPr>
              <w:spacing w:after="0" w:line="259" w:lineRule="auto"/>
            </w:pPr>
            <w:r>
              <w:rPr>
                <w:rFonts w:ascii="Calibri" w:hAnsi="Calibri" w:eastAsia="微软雅黑"/>
                <w:color w:val="243444"/>
                <w:sz w:val="18"/>
              </w:rPr>
              <w:t>当权限、频率、角度、设备状态或安全条件不满足时，阻止或终止危险操作的机制。</w:t>
            </w:r>
          </w:p>
        </w:tc>
      </w:tr>
    </w:tbl>
    <w:p w14:paraId="7AB9BF85">
      <w:pPr>
        <w:spacing w:after="20"/>
      </w:pPr>
    </w:p>
    <w:p w14:paraId="70512BD4">
      <w:r>
        <w:br w:type="page"/>
      </w:r>
    </w:p>
    <w:p w14:paraId="231E0562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附录 B  运行前检查清单（建议）</w:t>
      </w:r>
    </w:p>
    <w:p w14:paraId="4BB92DE9">
      <w:pPr>
        <w:pStyle w:val="16"/>
      </w:pPr>
      <w:r>
        <w:rPr>
          <w:rFonts w:ascii="Calibri" w:hAnsi="Calibri" w:eastAsia="微软雅黑"/>
          <w:color w:val="243444"/>
          <w:sz w:val="20"/>
        </w:rPr>
        <w:t>□ 天气和屋面作业条件允许；无雷暴、强风、结冰等停机情形。</w:t>
      </w:r>
    </w:p>
    <w:p w14:paraId="406D0FAF">
      <w:pPr>
        <w:pStyle w:val="16"/>
      </w:pPr>
      <w:r>
        <w:rPr>
          <w:rFonts w:ascii="Calibri" w:hAnsi="Calibri" w:eastAsia="微软雅黑"/>
          <w:color w:val="243444"/>
          <w:sz w:val="20"/>
        </w:rPr>
        <w:t>□ 天线、转台、支撑、馈线和机箱外观无异常，运动包络内无人和障碍物。</w:t>
      </w:r>
    </w:p>
    <w:p w14:paraId="6EEBE3D1">
      <w:pPr>
        <w:pStyle w:val="16"/>
      </w:pPr>
      <w:r>
        <w:rPr>
          <w:rFonts w:ascii="Calibri" w:hAnsi="Calibri" w:eastAsia="微软雅黑"/>
          <w:color w:val="243444"/>
          <w:sz w:val="20"/>
        </w:rPr>
        <w:t>□ 系统时间、站点坐标和目标轨道数据正确且在有效期内。</w:t>
      </w:r>
    </w:p>
    <w:p w14:paraId="225CC45B">
      <w:pPr>
        <w:pStyle w:val="16"/>
      </w:pPr>
      <w:r>
        <w:rPr>
          <w:rFonts w:ascii="Calibri" w:hAnsi="Calibri" w:eastAsia="微软雅黑"/>
          <w:color w:val="243444"/>
          <w:sz w:val="20"/>
        </w:rPr>
        <w:t>□ 转台控制、角度反馈、限位与急停状态正常。</w:t>
      </w:r>
    </w:p>
    <w:p w14:paraId="2BF9A3CB">
      <w:pPr>
        <w:pStyle w:val="16"/>
      </w:pPr>
      <w:r>
        <w:rPr>
          <w:rFonts w:ascii="Calibri" w:hAnsi="Calibri" w:eastAsia="微软雅黑"/>
          <w:color w:val="243444"/>
          <w:sz w:val="20"/>
        </w:rPr>
        <w:t>□ 收发/频谱设备在线，目标频率、模式、多普勒方向及接收增益配置正确。</w:t>
      </w:r>
    </w:p>
    <w:p w14:paraId="7CF3E427">
      <w:pPr>
        <w:pStyle w:val="16"/>
      </w:pPr>
      <w:r>
        <w:rPr>
          <w:rFonts w:ascii="Calibri" w:hAnsi="Calibri" w:eastAsia="微软雅黑"/>
          <w:color w:val="243444"/>
          <w:sz w:val="20"/>
        </w:rPr>
        <w:t>□ 任务存储空间充足，录制、解码和日志目录可写。</w:t>
      </w:r>
    </w:p>
    <w:p w14:paraId="358270D6">
      <w:pPr>
        <w:pStyle w:val="16"/>
      </w:pPr>
      <w:r>
        <w:rPr>
          <w:rFonts w:ascii="Calibri" w:hAnsi="Calibri" w:eastAsia="微软雅黑"/>
          <w:color w:val="243444"/>
          <w:sz w:val="20"/>
        </w:rPr>
        <w:t>□ 接收任务默认保持禁发；需要发射时已完成资质、许可、规则和权限确认。</w:t>
      </w:r>
    </w:p>
    <w:p w14:paraId="0D673783">
      <w:pPr>
        <w:pStyle w:val="16"/>
      </w:pPr>
      <w:r>
        <w:rPr>
          <w:rFonts w:ascii="Calibri" w:hAnsi="Calibri" w:eastAsia="微软雅黑"/>
          <w:color w:val="243444"/>
          <w:sz w:val="20"/>
        </w:rPr>
        <w:t>□ 任务结束后的归位、关机、数据归档和异常上报责任人已明确。</w:t>
      </w:r>
    </w:p>
    <w:p w14:paraId="57A3D362">
      <w:r>
        <w:br w:type="page"/>
      </w:r>
    </w:p>
    <w:sectPr>
      <w:headerReference r:id="rId5" w:type="default"/>
      <w:footerReference r:id="rId6" w:type="default"/>
      <w:pgSz w:w="12240" w:h="15840"/>
      <w:pgMar w:top="1037" w:right="1267" w:bottom="1037" w:left="1267" w:header="518" w:footer="54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7912AC">
    <w:pPr>
      <w:pStyle w:val="24"/>
      <w:jc w:val="center"/>
    </w:pPr>
    <w:r>
      <w:rPr>
        <w:rFonts w:ascii="Calibri" w:hAnsi="Calibri" w:eastAsia="微软雅黑"/>
        <w:color w:val="667788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Calibri" w:hAnsi="Calibri" w:eastAsia="微软雅黑"/>
        <w:color w:val="66778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81E6EC">
    <w:pPr>
      <w:pStyle w:val="25"/>
      <w:pBdr>
        <w:bottom w:val="single" w:color="D8E3EC" w:sz="6" w:space="4"/>
      </w:pBdr>
      <w:spacing w:after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F66F07"/>
    <w:rsid w:val="383A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93" w:lineRule="auto"/>
      <w:jc w:val="both"/>
    </w:pPr>
    <w:rPr>
      <w:rFonts w:ascii="Calibri" w:hAnsi="Calibri" w:eastAsia="微软雅黑" w:cstheme="minorBidi"/>
      <w:color w:val="243444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4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4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4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281" w:lineRule="auto"/>
      <w:ind w:left="720" w:hanging="360"/>
      <w:contextualSpacing/>
    </w:pPr>
    <w:rPr>
      <w:rFonts w:ascii="Calibri" w:hAnsi="Calibri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281" w:lineRule="auto"/>
      <w:ind w:left="720" w:hanging="360"/>
      <w:contextualSpacing/>
    </w:pPr>
    <w:rPr>
      <w:rFonts w:ascii="Calibri" w:hAnsi="Calibri" w:eastAsia="微软雅黑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200" w:line="240" w:lineRule="auto"/>
    </w:pPr>
    <w:rPr>
      <w:rFonts w:asciiTheme="majorHAnsi" w:hAnsiTheme="majorHAnsi" w:eastAsiaTheme="majorEastAsia" w:cstheme="majorBidi"/>
      <w:i/>
      <w:iCs/>
      <w:color w:val="667788"/>
      <w:spacing w:val="15"/>
      <w:sz w:val="26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20" w:line="240" w:lineRule="auto"/>
      <w:contextualSpacing/>
    </w:pPr>
    <w:rPr>
      <w:rFonts w:asciiTheme="majorHAnsi" w:hAnsiTheme="majorHAnsi" w:eastAsiaTheme="majorEastAsia" w:cstheme="majorBidi"/>
      <w:b/>
      <w:color w:val="163A5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1711</Words>
  <Characters>1755</Characters>
  <Lines>0</Lines>
  <Paragraphs>0</Paragraphs>
  <TotalTime>4</TotalTime>
  <ScaleCrop>false</ScaleCrop>
  <LinksUpToDate>false</LinksUpToDate>
  <CharactersWithSpaces>1845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项目技术组</dc:creator>
  <dc:description>generated by python-docx</dc:description>
  <cp:keywords>业余无线电卫星, UV地面站, 自动跟踪, 多普勒, 方案</cp:keywords>
  <cp:lastModifiedBy>李小保</cp:lastModifiedBy>
  <dcterms:modified xsi:type="dcterms:W3CDTF">2026-09-01T06:03:30Z</dcterms:modified>
  <dc:subject>厂商无关的建设方案、功能介绍、验收和运维建议</dc:subject>
  <dc:title>UV地面站方案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eyJoZGlkIjoiOTBlNDA3MjJhMDkwNWQ5ZDBkZTI2YjA1YWY5MTJmMjYiLCJ1c2VySWQiOiI2MDI0MTc4NjYifQ==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645659A2336342EFA51F6DABD07FB9C1_12</vt:lpwstr>
  </property>
</Properties>
</file>