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spacing w:before="0" w:after="160"/>
        <w:jc w:val="center"/>
      </w:pPr>
      <w:r>
        <w:rPr>
          <w:rFonts w:ascii="Arial" w:hAnsi="Arial"/>
          <w:b/>
          <w:sz w:val="28"/>
        </w:rPr>
        <w:t>qPCRtools: a cross-platform desktop application for reproducible qPCR analysis without programming</w:t>
      </w:r>
    </w:p>
    <w:p>
      <w:pPr>
        <w:pStyle w:val="Author"/>
        <w:keepNext w:val="0"/>
        <w:spacing w:line="240" w:lineRule="auto" w:after="240"/>
        <w:jc w:val="center"/>
      </w:pPr>
      <w:r>
        <w:rPr>
          <w:rFonts w:ascii="Arial" w:hAnsi="Arial"/>
          <w:sz w:val="22"/>
        </w:rPr>
        <w:t>Xiang Li</w:t>
      </w:r>
      <w:r>
        <w:rPr>
          <w:rFonts w:ascii="Arial" w:hAnsi="Arial"/>
          <w:sz w:val="22"/>
          <w:vertAlign w:val="superscript"/>
        </w:rPr>
        <w:t>1,2,*</w:t>
      </w:r>
      <w:r>
        <w:rPr>
          <w:rFonts w:ascii="Arial" w:hAnsi="Arial"/>
          <w:sz w:val="22"/>
        </w:rPr>
        <w:t xml:space="preserve">    </w:t>
      </w:r>
      <w:r>
        <w:rPr>
          <w:rFonts w:ascii="Arial" w:hAnsi="Arial"/>
          <w:sz w:val="22"/>
        </w:rPr>
        <w:t>Huichuan Huang</w:t>
      </w:r>
      <w:r>
        <w:rPr>
          <w:rFonts w:ascii="Arial" w:hAnsi="Arial"/>
          <w:sz w:val="22"/>
          <w:vertAlign w:val="superscript"/>
        </w:rPr>
        <w:t>1,2,*</w:t>
      </w:r>
      <w:r>
        <w:br/>
      </w:r>
      <w:r>
        <w:rPr>
          <w:rFonts w:ascii="Arial" w:hAnsi="Arial"/>
          <w:sz w:val="19"/>
        </w:rPr>
        <w:t>1 State Key Laboratory for Conservation and Utilization of Bio-Resources in Yunnan, Yunnan Agricultural University, Kunming, China</w:t>
      </w:r>
      <w:r>
        <w:br/>
      </w:r>
      <w:r>
        <w:rPr>
          <w:rFonts w:ascii="Arial" w:hAnsi="Arial"/>
          <w:sz w:val="19"/>
        </w:rPr>
        <w:t>2 Key Laboratory for Agro-Biodiversity and Pest Control of Ministry of Education, Yunnan Agricultural University, Kunming, China</w:t>
      </w:r>
      <w:r>
        <w:br/>
      </w:r>
      <w:r>
        <w:rPr>
          <w:rFonts w:ascii="Arial" w:hAnsi="Arial"/>
          <w:sz w:val="19"/>
        </w:rPr>
        <w:t>* Corresponding authors: lixiang117423@gmail.com (X.L.), absklhhc@gmail.com (H.H.)</w:t>
      </w:r>
      <w:r>
        <w:br/>
      </w:r>
      <w:r>
        <w:rPr>
          <w:rFonts w:ascii="Arial" w:hAnsi="Arial"/>
          <w:sz w:val="19"/>
        </w:rPr>
        <w:t>Present address (X.L.): Yazhouwan National Laboratory, Sanya, Hainan, China</w:t>
      </w:r>
    </w:p>
    <w:p>
      <w:pPr>
        <w:pStyle w:val="AbstractTitle"/>
      </w:pPr>
      <w:r>
        <w:t xml:space="preserve">Abstract</w:t>
      </w:r>
    </w:p>
    <w:p>
      <w:pPr>
        <w:pStyle w:val="Abstract"/>
        <w:keepNext w:val="0"/>
      </w:pPr>
      <w:r>
        <w:rPr>
          <w:b/>
          <w:bCs/>
        </w:rPr>
        <w:t xml:space="preserve">Summary:</w:t>
      </w:r>
      <w:r>
        <w:t xml:space="preserve"> </w:t>
      </w:r>
      <w:r>
        <w:t xml:space="preserve">Quantitative real-time PCR (qPCR) is a standard technique for measuring gene</w:t>
      </w:r>
      <w:r>
        <w:t xml:space="preserve"> </w:t>
      </w:r>
      <w:r>
        <w:t xml:space="preserve">expression, yet turning instrument-exported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values into</w:t>
      </w:r>
      <w:r>
        <w:t xml:space="preserve"> </w:t>
      </w:r>
      <w:r>
        <w:t xml:space="preserve">publication-ready results requires several non-trivial steps: estimating</w:t>
      </w:r>
      <w:r>
        <w:t xml:space="preserve"> </w:t>
      </w:r>
      <w:r>
        <w:t xml:space="preserve">amplification efficiency, choosing a quantification method, testing groups</w:t>
      </w:r>
      <w:r>
        <w:t xml:space="preserve"> </w:t>
      </w:r>
      <w:r>
        <w:t xml:space="preserve">statistically, and preparing figures. Established tools for this chain are</w:t>
      </w:r>
      <w:r>
        <w:t xml:space="preserve"> </w:t>
      </w:r>
      <w:r>
        <w:t xml:space="preserve">predominantly programming-based—including our own R package</w:t>
      </w:r>
      <w:r>
        <w:t xml:space="preserve"> </w:t>
      </w:r>
      <w:r>
        <w:rPr>
          <w:i/>
          <w:iCs/>
        </w:rPr>
        <w:t xml:space="preserve">qPCRtools</w:t>
      </w:r>
      <w:r>
        <w:t xml:space="preserve">—and remain out of reach for students and wet-lab</w:t>
      </w:r>
      <w:r>
        <w:t xml:space="preserve"> </w:t>
      </w:r>
      <w:r>
        <w:t xml:space="preserve">researchers without programming experience, whereas instrument software, free</w:t>
      </w:r>
      <w:r>
        <w:t xml:space="preserve"> </w:t>
      </w:r>
      <w:r>
        <w:t xml:space="preserve">stand-alone programs and web applications each cover only part of the</w:t>
      </w:r>
      <w:r>
        <w:t xml:space="preserve"> </w:t>
      </w:r>
      <w:r>
        <w:t xml:space="preserve">workflow or tie the analysis to one platform. We present</w:t>
      </w:r>
      <w:r>
        <w:t xml:space="preserve"> </w:t>
      </w:r>
      <w:r>
        <w:rPr>
          <w:i/>
          <w:iCs/>
        </w:rPr>
        <w:t xml:space="preserve">qPCRtools</w:t>
      </w:r>
      <w:r>
        <w:t xml:space="preserve">,</w:t>
      </w:r>
      <w:r>
        <w:t xml:space="preserve"> </w:t>
      </w:r>
      <w:r>
        <w:t xml:space="preserve">a cross-platform desktop application written in C++17 with Qt6 that exposes</w:t>
      </w:r>
      <w:r>
        <w:t xml:space="preserve"> </w:t>
      </w:r>
      <w:r>
        <w:t xml:space="preserve">the analytical core of the R package through a point-and-click interface and</w:t>
      </w:r>
      <w:r>
        <w:t xml:space="preserve"> </w:t>
      </w:r>
      <w:r>
        <w:t xml:space="preserve">ships as a single executable requiring no R, Python or other runtime. It</w:t>
      </w:r>
      <w:r>
        <w:t xml:space="preserve"> </w:t>
      </w:r>
      <w:r>
        <w:t xml:space="preserve">implements standard-curve construction and efficiency estimation, the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efficiency-based (RqPCR) quantification</w:t>
      </w:r>
      <w:r>
        <w:t xml:space="preserve"> </w:t>
      </w:r>
      <w:r>
        <w:t xml:space="preserve">methods, group comparison by Welch</w:t>
      </w:r>
      <w:r>
        <w:t xml:space="preserve"> </w:t>
      </w:r>
      <m:oMath>
        <m:r>
          <m:t>t</m:t>
        </m:r>
      </m:oMath>
      <w:r>
        <w:t xml:space="preserve">-test, Wilcoxon rank-sum test or</w:t>
      </w:r>
      <w:r>
        <w:t xml:space="preserve"> </w:t>
      </w:r>
      <w:r>
        <w:t xml:space="preserve">one-way ANOVA with Tukey HSD letters, quality-control warnings,</w:t>
      </w:r>
      <w:r>
        <w:t xml:space="preserve"> </w:t>
      </w:r>
      <w:r>
        <w:t xml:space="preserve">in-interface figures, and a plain-text record of the inputs and parameters of</w:t>
      </w:r>
      <w:r>
        <w:t xml:space="preserve"> </w:t>
      </w:r>
      <w:r>
        <w:t xml:space="preserve">each analysis. The implementation was validated against an independent base-R</w:t>
      </w:r>
      <w:r>
        <w:t xml:space="preserve"> </w:t>
      </w:r>
      <w:r>
        <w:t xml:space="preserve">reference for every quantification method. Preparing the port also revealed</w:t>
      </w:r>
      <w:r>
        <w:t xml:space="preserve"> </w:t>
      </w:r>
      <w:r>
        <w:t xml:space="preserve">and corrected several defects in result aggregation, each covered by a</w:t>
      </w:r>
      <w:r>
        <w:t xml:space="preserve"> </w:t>
      </w:r>
      <w:r>
        <w:t xml:space="preserve">regression test.</w:t>
      </w:r>
    </w:p>
    <w:p>
      <w:pPr>
        <w:pStyle w:val="Abstract"/>
        <w:keepNext w:val="0"/>
      </w:pPr>
      <w:r>
        <w:rPr>
          <w:b/>
          <w:bCs/>
        </w:rPr>
        <w:t xml:space="preserve">Availability and Implementation: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is written in C++17 with Qt6 and built with CMake; the core</w:t>
      </w:r>
      <w:r>
        <w:t xml:space="preserve"> </w:t>
      </w:r>
      <w:r>
        <w:t xml:space="preserve">algorithm library requires only Qt Core and optionally links Eigen3, GSL and</w:t>
      </w:r>
      <w:r>
        <w:t xml:space="preserve"> </w:t>
      </w:r>
      <w:r>
        <w:t xml:space="preserve">OpenXLSX. The source code is available under the MIT license at</w:t>
      </w:r>
      <w:r>
        <w:t xml:space="preserve"> </w:t>
      </w:r>
      <w:hyperlink r:id="rId9">
        <w:r>
          <w:rPr>
            <w:rStyle w:val="Hyperlink"/>
          </w:rPr>
          <w:t xml:space="preserve">https://github.com/lixiang117423/qPCRtools_cpp</w:t>
        </w:r>
      </w:hyperlink>
      <w:r>
        <w:t xml:space="preserve">, with pre-built binaries</w:t>
      </w:r>
      <w:r>
        <w:t xml:space="preserve"> </w:t>
      </w:r>
      <w:r>
        <w:t xml:space="preserve">for version 1.3.0 in the repository releases; no registration is required.</w:t>
      </w:r>
      <w:r>
        <w:t xml:space="preserve"> </w:t>
      </w:r>
      <w:r>
        <w:t xml:space="preserve">Linux build instructions are provided, but no Linux binary is released. The</w:t>
      </w:r>
      <w:r>
        <w:t xml:space="preserve"> </w:t>
      </w:r>
      <w:r>
        <w:t xml:space="preserve">software and its source will remain available for at least two years.</w:t>
      </w:r>
    </w:p>
    <w:p>
      <w:pPr>
        <w:pStyle w:val="Abstract"/>
        <w:keepNext w:val="0"/>
      </w:pPr>
      <w:r>
        <w:rPr>
          <w:b/>
          <w:bCs/>
        </w:rPr>
        <w:t xml:space="preserve">Contact:</w:t>
      </w:r>
      <w:r>
        <w:t xml:space="preserve"> </w:t>
      </w:r>
      <w:r>
        <w:rPr>
          <w:rStyle w:val="VerbatimChar"/>
        </w:rPr>
        <w:t xml:space="preserve">lixiang117423@gmail.com</w:t>
      </w:r>
      <w:r>
        <w:t xml:space="preserve">;</w:t>
      </w:r>
      <w:r>
        <w:t xml:space="preserve"> </w:t>
      </w:r>
      <w:r>
        <w:rPr>
          <w:rStyle w:val="VerbatimChar"/>
        </w:rPr>
        <w:t xml:space="preserve">absklhhc@gmail.com</w:t>
      </w:r>
    </w:p>
    <w:p>
      <w:pPr>
        <w:pStyle w:val="Abstract"/>
        <w:keepNext w:val="0"/>
      </w:pPr>
      <w:r>
        <w:rPr>
          <w:b/>
          <w:bCs/>
        </w:rPr>
        <w:t xml:space="preserve">Supplementary Information:</w:t>
      </w:r>
      <w:r>
        <w:t xml:space="preserve"> </w:t>
      </w:r>
      <w:r>
        <w:t xml:space="preserve">Supplementary Figures S1–S2 give the full</w:t>
      </w:r>
      <w:r>
        <w:t xml:space="preserve"> </w:t>
      </w:r>
      <w:r>
        <w:t xml:space="preserve">analysis output and the validation comparison; Supplementary Tables S1–S3</w:t>
      </w:r>
      <w:r>
        <w:t xml:space="preserve"> </w:t>
      </w:r>
      <w:r>
        <w:t xml:space="preserve">summarise numerical agreement, the sensitivity of the group comparison to the</w:t>
      </w:r>
      <w:r>
        <w:t xml:space="preserve"> </w:t>
      </w:r>
      <w:r>
        <w:t xml:space="preserve">analysis scale and a reproducible re-analysis of published qPCR data.</w:t>
      </w:r>
    </w:p>
    <w:p>
      <w:pPr>
        <w:pStyle w:val="Heading1"/>
      </w:pPr>
      <w:bookmarkStart w:id="10" w:name="_introduction"/>
      <w:r>
        <w:t xml:space="preserve">Introduction</w:t>
      </w:r>
      <w:bookmarkEnd w:id="10"/>
    </w:p>
    <w:p>
      <w:pPr>
        <w:pStyle w:val="FirstParagraph"/>
      </w:pPr>
      <w:r>
        <w:t xml:space="preserve">Quantitative real-time PCR (qPCR) is among the most widely used techniques</w:t>
      </w:r>
      <w:r>
        <w:t xml:space="preserve"> </w:t>
      </w:r>
      <w:r>
        <w:t xml:space="preserve">in molecular biology for quantifying nucleic acids and measuring gene</w:t>
      </w:r>
      <w:r>
        <w:t xml:space="preserve"> </w:t>
      </w:r>
      <w:r>
        <w:t xml:space="preserve">expression</w:t>
      </w:r>
      <w:r>
        <w:t xml:space="preserve"> </w:t>
      </w:r>
      <w:r>
        <w:t xml:space="preserve">(1)</w:t>
      </w:r>
      <w:r>
        <w:t xml:space="preserve">. Current reporting guidance is provided by</w:t>
      </w:r>
      <w:r>
        <w:t xml:space="preserve"> </w:t>
      </w:r>
      <w:r>
        <w:t xml:space="preserve">MIQE 2.0</w:t>
      </w:r>
      <w:r>
        <w:t xml:space="preserve"> </w:t>
      </w:r>
      <w:r>
        <w:t xml:space="preserve">(2)</w:t>
      </w:r>
      <w:r>
        <w:t xml:space="preserve">. A sound analysis involves several</w:t>
      </w:r>
      <w:r>
        <w:t xml:space="preserve"> </w:t>
      </w:r>
      <w:r>
        <w:t xml:space="preserve">interdependent steps: estimating primer amplification efficiency, choosing a</w:t>
      </w:r>
      <w:r>
        <w:t xml:space="preserve"> </w:t>
      </w:r>
      <w:r>
        <w:t xml:space="preserve">quantification strategy, testing groups statistically, and preparing figures</w:t>
      </w:r>
      <w:r>
        <w:t xml:space="preserve"> </w:t>
      </w:r>
      <w:r>
        <w:t xml:space="preserve">(3)</w:t>
      </w:r>
      <w:r>
        <w:t xml:space="preserve">. When target and reference efficiencies are comparable,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Δ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 </w:t>
      </w:r>
      <w:r>
        <w:t xml:space="preserve">method</w:t>
      </w:r>
      <w:r>
        <w:t xml:space="preserve"> </w:t>
      </w:r>
      <w:r>
        <w:t xml:space="preserve">(4)</w:t>
      </w:r>
      <w:r>
        <w:t xml:space="preserve"> </w:t>
      </w:r>
      <w:r>
        <w:t xml:space="preserve">is convenient;</w:t>
      </w:r>
      <w:r>
        <w:t xml:space="preserve"> </w:t>
      </w:r>
      <w:r>
        <w:t xml:space="preserve">when they differ, an efficiency-corrected or standard-curve-based approach is</w:t>
      </w:r>
      <w:r>
        <w:t xml:space="preserve"> </w:t>
      </w:r>
      <w:r>
        <w:t xml:space="preserve">required</w:t>
      </w:r>
      <w:r>
        <w:t xml:space="preserve"> </w:t>
      </w:r>
      <w:r>
        <w:t xml:space="preserve">(5)</w:t>
      </w:r>
      <w:r>
        <w:t xml:space="preserve">. These choices, combined with the need for</w:t>
      </w:r>
      <w:r>
        <w:t xml:space="preserve"> </w:t>
      </w:r>
      <w:r>
        <w:t xml:space="preserve">rigorous statistics, make qPCR analysis demanding for many laboratory</w:t>
      </w:r>
      <w:r>
        <w:t xml:space="preserve"> </w:t>
      </w:r>
      <w:r>
        <w:t xml:space="preserve">researchers.</w:t>
      </w:r>
    </w:p>
    <w:p>
      <w:pPr>
        <w:pStyle w:val="BodyText"/>
      </w:pPr>
      <w:r>
        <w:t xml:space="preserve">A range of tools cover different parts of this workflow</w:t>
      </w:r>
      <w:r>
        <w:t xml:space="preserve"> </w:t>
      </w:r>
      <w:r>
        <w:t xml:space="preserve">(Table </w:t>
      </w:r>
      <w:hyperlink w:anchor="_c3e874fcf960b8b5056ae8f1867ac41b994c06c">
        <w:r>
          <w:rPr>
            <w:rStyle w:val="Hyperlink"/>
          </w:rPr>
          <w:t xml:space="preserve">1</w:t>
        </w:r>
      </w:hyperlink>
      <w:r>
        <w:t xml:space="preserve">). Scripting-based implementations—our own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(6)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pcr</w:t>
      </w:r>
      <w:r>
        <w:t xml:space="preserve"> </w:t>
      </w:r>
      <w:r>
        <w:t xml:space="preserve">(7)</w:t>
      </w:r>
      <w:r>
        <w:t xml:space="preserve">—implement the calculation chain transparently but</w:t>
      </w:r>
      <w:r>
        <w:t xml:space="preserve"> </w:t>
      </w:r>
      <w:r>
        <w:t xml:space="preserve">require programming skill and a configured environment. Software distributed</w:t>
      </w:r>
      <w:r>
        <w:t xml:space="preserve"> </w:t>
      </w:r>
      <w:r>
        <w:t xml:space="preserve">with real-time instruments (for example QuantStudio Design &amp; Analysis and</w:t>
      </w:r>
      <w:r>
        <w:t xml:space="preserve"> </w:t>
      </w:r>
      <w:r>
        <w:t xml:space="preserve">CFX Maestro) offers a graphical workflow but is tied to that instrument.</w:t>
      </w:r>
      <w:r>
        <w:t xml:space="preserve"> </w:t>
      </w:r>
      <w:r>
        <w:t xml:space="preserve">Free stand-alone programs cover single steps: REST</w:t>
      </w:r>
      <w:r>
        <w:t xml:space="preserve"> </w:t>
      </w:r>
      <w:r>
        <w:t xml:space="preserve">(8)</w:t>
      </w:r>
      <w:r>
        <w:t xml:space="preserve"> </w:t>
      </w:r>
      <w:r>
        <w:t xml:space="preserve">computes efficiency-based relative expression for two-group comparisons with</w:t>
      </w:r>
      <w:r>
        <w:t xml:space="preserve"> </w:t>
      </w:r>
      <w:r>
        <w:t xml:space="preserve">a randomisation test, LinRegPCR</w:t>
      </w:r>
      <w:r>
        <w:t xml:space="preserve"> </w:t>
      </w:r>
      <w:r>
        <w:t xml:space="preserve">(9,10)</w:t>
      </w:r>
      <w:r>
        <w:t xml:space="preserve"> </w:t>
      </w:r>
      <w:r>
        <w:t xml:space="preserve">estimates baseline and</w:t>
      </w:r>
      <w:r>
        <w:t xml:space="preserve"> </w:t>
      </w:r>
      <w:r>
        <w:t xml:space="preserve">efficiency from raw fluorescence, and qBase</w:t>
      </w:r>
      <w:r>
        <w:t xml:space="preserve"> </w:t>
      </w:r>
      <w:r>
        <w:t xml:space="preserve">(11)</w:t>
      </w:r>
      <w:r>
        <w:t xml:space="preserve"> </w:t>
      </w:r>
      <w:r>
        <w:t xml:space="preserve">implements relative quantification with the geNorm stability measure</w:t>
      </w:r>
      <w:r>
        <w:t xml:space="preserve"> </w:t>
      </w:r>
      <w:r>
        <w:t xml:space="preserve">(12)</w:t>
      </w:r>
      <w:r>
        <w:t xml:space="preserve">. Free web applications—SATQPCR</w:t>
      </w:r>
      <w:r>
        <w:t xml:space="preserve"> </w:t>
      </w:r>
      <w:r>
        <w:t xml:space="preserve">(13)</w:t>
      </w:r>
      <w:r>
        <w:t xml:space="preserve">, DAG Expression</w:t>
      </w:r>
      <w:r>
        <w:t xml:space="preserve"> </w:t>
      </w:r>
      <w:r>
        <w:t xml:space="preserve">(14)</w:t>
      </w:r>
      <w:r>
        <w:t xml:space="preserve"> </w:t>
      </w:r>
      <w:r>
        <w:t xml:space="preserve">and</w:t>
      </w:r>
      <w:r>
        <w:t xml:space="preserve"> </w:t>
      </w:r>
      <w:r>
        <w:t xml:space="preserve">Auto-qPCR</w:t>
      </w:r>
      <w:r>
        <w:t xml:space="preserve"> </w:t>
      </w:r>
      <w:r>
        <w:t xml:space="preserve">(15)</w:t>
      </w:r>
      <w:r>
        <w:t xml:space="preserve">—integrate several steps but require</w:t>
      </w:r>
      <w:r>
        <w:t xml:space="preserve"> </w:t>
      </w:r>
      <w:r>
        <w:t xml:space="preserve">uploading the data to a remote server or deploying the web stack locally. The</w:t>
      </w:r>
      <w:r>
        <w:t xml:space="preserve"> </w:t>
      </w:r>
      <w:r>
        <w:t xml:space="preserve">gap is therefore not a missing algorithm but a missing delivery mode:</w:t>
      </w:r>
      <w:r>
        <w:t xml:space="preserve"> </w:t>
      </w:r>
      <w:r>
        <w:rPr>
          <w:i/>
          <w:iCs/>
        </w:rPr>
        <w:t xml:space="preserve">auditable numerical implementation</w:t>
      </w:r>
      <w:r>
        <w:t xml:space="preserve"> </w:t>
      </w:r>
      <w:r>
        <w:t xml:space="preserve">combined with a</w:t>
      </w:r>
      <w:r>
        <w:t xml:space="preserve"> </w:t>
      </w:r>
      <w:r>
        <w:rPr>
          <w:i/>
          <w:iCs/>
        </w:rPr>
        <w:t xml:space="preserve">native,</w:t>
      </w:r>
      <w:r>
        <w:rPr>
          <w:i/>
          <w:iCs/>
        </w:rPr>
        <w:t xml:space="preserve"> </w:t>
      </w:r>
      <w:r>
        <w:rPr>
          <w:i/>
          <w:iCs/>
        </w:rPr>
        <w:t xml:space="preserve">cross-platform, zero-dependency</w:t>
      </w:r>
      <w:r>
        <w:t xml:space="preserve"> </w:t>
      </w:r>
      <w:r>
        <w:t xml:space="preserve">graphical workflow.</w:t>
      </w:r>
    </w:p>
    <w:bookmarkStart w:id="11" w:name="_c3e874fcf960b8b5056ae8f1867ac41b994c06c"/>
    <w:p>
      <w:pPr>
        <w:pStyle w:val="TableCaption"/>
        <w:keepNext/>
        <w:pageBreakBefore/>
        <w:jc w:val="both"/>
      </w:pPr>
      <w:r>
        <w:rPr>
          <w:rFonts w:ascii="Arial" w:hAnsi="Arial"/>
          <w:b/>
          <w:sz w:val="19"/>
        </w:rPr>
        <w:t xml:space="preserve">Table 1. </w:t>
      </w:r>
      <w:r>
        <w:rPr>
          <w:sz w:val="19"/>
        </w:rPr>
        <w:t xml:space="preserve">Delivery mode and functionality of representative qPCR analysis</w:t>
      </w:r>
      <w:r>
        <w:rPr>
          <w:sz w:val="19"/>
        </w:rPr>
        <w:t xml:space="preserve"> </w:t>
      </w:r>
      <w:r>
        <w:rPr>
          <w:sz w:val="19"/>
        </w:rPr>
        <w:t xml:space="preserve">tools.</w:t>
      </w:r>
      <w:r>
        <w:rPr>
          <w:sz w:val="19"/>
        </w:rPr>
        <w:t xml:space="preserve"> </w:t>
      </w:r>
      <w:r>
        <w:rPr>
          <w:sz w:val="19"/>
        </w:rPr>
        <w:t xml:space="preserve">“Free for non-commercial use”</w:t>
      </w:r>
      <w:r>
        <w:rPr>
          <w:sz w:val="19"/>
        </w:rPr>
        <w:t xml:space="preserve"> </w:t>
      </w:r>
      <w:r>
        <w:rPr>
          <w:sz w:val="19"/>
        </w:rPr>
        <w:t xml:space="preserve">means no purchase is required for</w:t>
      </w:r>
      <w:r>
        <w:rPr>
          <w:sz w:val="19"/>
        </w:rPr>
        <w:t xml:space="preserve"> </w:t>
      </w:r>
      <w:r>
        <w:rPr>
          <w:sz w:val="19"/>
        </w:rPr>
        <w:t xml:space="preserve">academic users; software distributed with an instrument is marked as not</w:t>
      </w:r>
      <w:r>
        <w:rPr>
          <w:sz w:val="19"/>
        </w:rPr>
        <w:t xml:space="preserve"> </w:t>
      </w:r>
      <w:r>
        <w:rPr>
          <w:sz w:val="19"/>
        </w:rPr>
        <w:t xml:space="preserve">free.</w:t>
      </w:r>
      <w:r>
        <w:rPr>
          <w:sz w:val="19"/>
        </w:rPr>
        <w:t xml:space="preserve"> </w:t>
      </w:r>
      <w:r>
        <w:rPr>
          <w:sz w:val="19"/>
        </w:rPr>
        <w:t xml:space="preserve">“Reference-gene stability”</w:t>
      </w:r>
      <w:r>
        <w:rPr>
          <w:sz w:val="19"/>
        </w:rPr>
        <w:t xml:space="preserve"> </w:t>
      </w:r>
      <w:r>
        <w:rPr>
          <w:sz w:val="19"/>
        </w:rPr>
        <w:t xml:space="preserve">denotes computational selection or ranking</w:t>
      </w:r>
      <w:r>
        <w:rPr>
          <w:sz w:val="19"/>
        </w:rPr>
        <w:t xml:space="preserve"> </w:t>
      </w:r>
      <w:r>
        <w:rPr>
          <w:sz w:val="19"/>
        </w:rPr>
        <w:t xml:space="preserve">of reference genes, not merely normalisation to a chosen reference gene.</w:t>
      </w:r>
      <w:r>
        <w:rPr>
          <w:sz w:val="19"/>
        </w:rPr>
        <w:t xml:space="preserve"> </w:t>
      </w:r>
      <m:oMath>
        <m:r>
          <m:rPr>
            <m:sty m:val="p"/>
          </m:rPr>
          <m:t>•</m:t>
        </m:r>
      </m:oMath>
      <w:r>
        <w:rPr>
          <w:sz w:val="19"/>
        </w:rPr>
        <w:t xml:space="preserve"> provided,</w:t>
      </w:r>
      <w:r>
        <w:rPr>
          <w:sz w:val="19"/>
        </w:rPr>
        <w:t xml:space="preserve"> </w:t>
      </w:r>
      <m:oMath>
        <m:r>
          <m:rPr>
            <m:sty m:val="p"/>
          </m:rPr>
          <m:t>∘</m:t>
        </m:r>
      </m:oMath>
      <w:r>
        <w:rPr>
          <w:sz w:val="19"/>
        </w:rPr>
        <w:t xml:space="preserve"> not provided,</w:t>
      </w:r>
      <w:r>
        <w:rPr>
          <w:sz w:val="19"/>
        </w:rPr>
        <w:t xml:space="preserve"> </w:t>
      </w:r>
      <m:oMath>
        <m:r>
          <m:rPr>
            <m:sty m:val="p"/>
          </m:rPr>
          <m:t>∘</m:t>
        </m:r>
      </m:oMath>
      <w:r>
        <w:rPr>
          <w:sz w:val="19"/>
        </w:rPr>
        <w:t xml:space="preserve">/</w:t>
      </w:r>
      <m:oMath>
        <m:r>
          <m:rPr>
            <m:sty m:val="p"/>
          </m:rPr>
          <m:t>•</m:t>
        </m:r>
      </m:oMath>
      <w:r>
        <w:rPr>
          <w:sz w:val="19"/>
        </w:rPr>
        <w:t xml:space="preserve"> partial or</w:t>
      </w:r>
      <w:r>
        <w:rPr>
          <w:sz w:val="19"/>
        </w:rPr>
        <w:t xml:space="preserve"> </w:t>
      </w:r>
      <w:r>
        <w:rPr>
          <w:sz w:val="19"/>
        </w:rPr>
        <w:t xml:space="preserve">version-dependent (statistics were added in the later qBase+ release; vendor</w:t>
      </w:r>
      <w:r>
        <w:rPr>
          <w:sz w:val="19"/>
        </w:rPr>
        <w:t xml:space="preserve"> </w:t>
      </w:r>
      <w:r>
        <w:rPr>
          <w:sz w:val="19"/>
        </w:rPr>
        <w:t xml:space="preserve">software differs between instruments and versions). Compiled from the cited</w:t>
      </w:r>
      <w:r>
        <w:rPr>
          <w:sz w:val="19"/>
        </w:rPr>
        <w:t xml:space="preserve"> </w:t>
      </w:r>
      <w:r>
        <w:rPr>
          <w:sz w:val="19"/>
        </w:rPr>
        <w:t xml:space="preserve">papers, the vendors’ documentation and the survey of Pabinger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et al.</w:t>
      </w:r>
      <w:r>
        <w:rPr>
          <w:sz w:val="19"/>
        </w:rPr>
        <w:t xml:space="preserve"> </w:t>
      </w:r>
      <w:r>
        <w:rPr>
          <w:sz w:val="19"/>
        </w:rPr>
        <w:t xml:space="preserve">(16)</w:t>
      </w:r>
      <w:r>
        <w:rPr>
          <w:sz w:val="19"/>
        </w:rPr>
        <w:t xml:space="preserve">.</w:t>
      </w:r>
      <w:r>
        <w:rPr>
          <w:sz w:val="19"/>
        </w:rPr>
        <w:t xml:space="preserve"> </w:t>
      </w:r>
      <w:r>
        <w:rPr>
          <w:sz w:val="19"/>
          <w:vertAlign w:val="superscript"/>
        </w:rPr>
        <w:t xml:space="preserve">a</w:t>
      </w:r>
      <w:r>
        <w:rPr>
          <w:sz w:val="19"/>
        </w:rPr>
        <w:t xml:space="preserve"> </w:t>
      </w:r>
      <w:r>
        <w:rPr>
          <w:i/>
          <w:iCs/>
          <w:sz w:val="19"/>
        </w:rPr>
        <w:t xml:space="preserve">qPCRtools</w:t>
      </w:r>
      <w:r>
        <w:rPr>
          <w:sz w:val="19"/>
        </w:rPr>
        <w:t xml:space="preserve"> </w:t>
      </w:r>
      <w:r>
        <w:rPr>
          <w:sz w:val="19"/>
        </w:rPr>
        <w:t xml:space="preserve">(6)</w:t>
      </w:r>
      <w:r>
        <w:rPr>
          <w:sz w:val="19"/>
        </w:rPr>
        <w:t xml:space="preserve">,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pcr</w:t>
      </w:r>
      <w:r>
        <w:rPr>
          <w:sz w:val="19"/>
        </w:rPr>
        <w:t xml:space="preserve"> </w:t>
      </w:r>
      <w:r>
        <w:rPr>
          <w:sz w:val="19"/>
        </w:rPr>
        <w:t xml:space="preserve">(7)</w:t>
      </w:r>
      <w:r>
        <w:rPr>
          <w:sz w:val="19"/>
        </w:rPr>
        <w:t xml:space="preserve">, qpcR</w:t>
      </w:r>
      <w:r>
        <w:rPr>
          <w:sz w:val="19"/>
        </w:rPr>
        <w:t xml:space="preserve"> </w:t>
      </w:r>
      <w:r>
        <w:rPr>
          <w:sz w:val="19"/>
        </w:rPr>
        <w:t xml:space="preserve">(17)</w:t>
      </w:r>
      <w:r>
        <w:rPr>
          <w:sz w:val="19"/>
        </w:rPr>
        <w:t xml:space="preserve">, NormqPCR</w:t>
      </w:r>
      <w:r>
        <w:rPr>
          <w:sz w:val="19"/>
        </w:rPr>
        <w:t xml:space="preserve"> </w:t>
      </w:r>
      <w:r>
        <w:rPr>
          <w:sz w:val="19"/>
        </w:rPr>
        <w:t xml:space="preserve">(18)</w:t>
      </w:r>
      <w:r>
        <w:rPr>
          <w:sz w:val="19"/>
        </w:rPr>
        <w:t xml:space="preserve">, and the archived</w:t>
      </w:r>
      <w:r>
        <w:rPr>
          <w:sz w:val="19"/>
        </w:rPr>
        <w:t xml:space="preserve"> </w:t>
      </w:r>
      <w:r>
        <w:rPr>
          <w:sz w:val="19"/>
        </w:rPr>
        <w:t xml:space="preserve">Bioconductor package EasyqpcR</w:t>
      </w:r>
      <w:r>
        <w:rPr>
          <w:sz w:val="19"/>
        </w:rPr>
        <w:t xml:space="preserve"> </w:t>
      </w:r>
      <w:r>
        <w:rPr>
          <w:sz w:val="19"/>
        </w:rPr>
        <w:t xml:space="preserve">(19)</w:t>
      </w:r>
      <w:r>
        <w:rPr>
          <w:sz w:val="19"/>
        </w:rPr>
        <w:t xml:space="preserve">.</w:t>
      </w:r>
      <w:r>
        <w:rPr>
          <w:sz w:val="19"/>
        </w:rPr>
        <w:t xml:space="preserve"> </w:t>
      </w:r>
      <w:r>
        <w:rPr>
          <w:sz w:val="19"/>
          <w:vertAlign w:val="superscript"/>
        </w:rPr>
        <w:t xml:space="preserve">b</w:t>
      </w:r>
      <w:r>
        <w:rPr>
          <w:sz w:val="19"/>
        </w:rPr>
        <w:t xml:space="preserve"> QuantStudio Design &amp; Analysis, CFX Maestro.</w:t>
      </w:r>
      <w:r>
        <w:rPr>
          <w:sz w:val="19"/>
        </w:rPr>
        <w:t xml:space="preserve"> </w:t>
      </w:r>
      <w:r>
        <w:rPr>
          <w:sz w:val="19"/>
          <w:vertAlign w:val="superscript"/>
        </w:rPr>
        <w:t xml:space="preserve">c</w:t>
      </w:r>
      <w:r>
        <w:rPr>
          <w:sz w:val="19"/>
        </w:rPr>
        <w:t xml:space="preserve"> SATQPCR</w:t>
      </w:r>
      <w:r>
        <w:rPr>
          <w:sz w:val="19"/>
        </w:rPr>
        <w:t xml:space="preserve"> </w:t>
      </w:r>
      <w:r>
        <w:rPr>
          <w:sz w:val="19"/>
        </w:rPr>
        <w:t xml:space="preserve">(13)</w:t>
      </w:r>
      <w:r>
        <w:rPr>
          <w:sz w:val="19"/>
        </w:rPr>
        <w:t xml:space="preserve">, DAG Expression</w:t>
      </w:r>
      <w:r>
        <w:rPr>
          <w:sz w:val="19"/>
        </w:rPr>
        <w:t xml:space="preserve"> </w:t>
      </w:r>
      <w:r>
        <w:rPr>
          <w:sz w:val="19"/>
        </w:rPr>
        <w:t xml:space="preserve">(14)</w:t>
      </w:r>
      <w:r>
        <w:rPr>
          <w:sz w:val="19"/>
        </w:rPr>
        <w:t xml:space="preserve">, Auto-qPCR</w:t>
      </w:r>
      <w:r>
        <w:rPr>
          <w:sz w:val="19"/>
        </w:rPr>
        <w:t xml:space="preserve"> </w:t>
      </w:r>
      <w:r>
        <w:rPr>
          <w:sz w:val="19"/>
        </w:rPr>
        <w:t xml:space="preserve">(15)</w:t>
      </w:r>
      <w:r>
        <w:rPr>
          <w:sz w:val="19"/>
        </w:rPr>
        <w:t xml:space="preserve">.</w:t>
      </w:r>
    </w:p>
    <w:tbl>
      <w:tblPr>
        <w:tblStyle w:val="Table"/>
        <w:tblW w:type="auto" w:w="0"/>
        <w:tblLayout w:type="fixed"/>
        <w:tblLook w:firstRow="1" w:lastRow="0" w:firstColumn="0" w:lastColumn="0" w:noHBand="0" w:noVBand="0" w:val="0020"/>
        <w:tblCaption w:val="Delivery mode and functionality of representative qPCR analysis tools. “Free for non-commercial use” means no purchase is required for academic users; software distributed with an instrument is marked as not free. “Reference-gene stability” denotes computational selection or ranking of reference genes, not merely normalisation to a chosen reference gene. \bullet provided, \circ not provided, \circ/\bullet partial or version-dependent (statistics were added in the later qBase+ release; vendor software differs between instruments and versions). Compiled from the cited papers, the vendors’ documentation and the survey of Pabinger et al. (16). a qPCRtools (6), pcr (7), qpcR (17), NormqPCR (18), and the archived Bioconductor package EasyqpcR (19). b QuantStudio Design &amp; Analysis, CFX Maestro. c SATQPCR (13), DAG Expression (14), Auto-qPCR (15).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21"/>
        <w:gridCol w:w="680"/>
        <w:gridCol w:w="907"/>
        <w:gridCol w:w="794"/>
        <w:gridCol w:w="1134"/>
        <w:gridCol w:w="907"/>
        <w:gridCol w:w="1928"/>
      </w:tblGrid>
      <w:tr>
        <w:trPr>
          <w:tblHeader w:val="on"/>
          <w:cantSplit/>
        </w:trPr>
        <w:tc>
          <w:tcPr>
            <w:tcW w:type="dxa" w:w="2721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Tool</w:t>
            </w:r>
          </w:p>
        </w:tc>
        <w:tc>
          <w:tcPr>
            <w:tcW w:type="dxa" w:w="680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Free</w:t>
            </w:r>
          </w:p>
        </w:tc>
        <w:tc>
          <w:tcPr>
            <w:tcW w:type="dxa" w:w="907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No coding</w:t>
            </w:r>
          </w:p>
        </w:tc>
        <w:tc>
          <w:tcPr>
            <w:tcW w:type="dxa" w:w="794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Offline</w:t>
            </w:r>
          </w:p>
        </w:tc>
        <w:tc>
          <w:tcPr>
            <w:tcW w:type="dxa" w:w="1134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Efficiency</w:t>
            </w:r>
          </w:p>
        </w:tc>
        <w:tc>
          <w:tcPr>
            <w:tcW w:type="dxa" w:w="907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Statistics</w:t>
            </w:r>
          </w:p>
        </w:tc>
        <w:tc>
          <w:tcPr>
            <w:tcW w:type="dxa" w:w="1928"/>
            <w:tcBorders>
              <w:top w:val="single" w:sz="12" w:color="000000"/>
              <w:bottom w:val="single" w:sz="8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w:r>
              <w:rPr>
                <w:rFonts w:ascii="Arial" w:hAnsi="Arial"/>
                <w:sz w:val="16"/>
              </w:rPr>
              <w:t xml:space="preserve">Ref.-gene stability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 packages</w:t>
            </w:r>
            <w:r>
              <w:rPr>
                <w:rFonts w:ascii="Arial" w:hAnsi="Arial"/>
                <w:sz w:val="16"/>
                <w:vertAlign w:val="superscript"/>
              </w:rPr>
              <w:t xml:space="preserve">a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/</w:t>
            </w:r>
            <m:oMath>
              <m:r>
                <m:rPr>
                  <m:sty m:val="p"/>
                </m:rPr>
                <m:t>•</m:t>
              </m:r>
            </m:oMath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This application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REST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LinRegPCR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qBase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qBase+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Instrument software</w:t>
            </w:r>
            <w:r>
              <w:rPr>
                <w:rFonts w:ascii="Arial" w:hAnsi="Arial"/>
                <w:sz w:val="16"/>
                <w:vertAlign w:val="superscript"/>
              </w:rPr>
              <w:t xml:space="preserve">b</w:t>
            </w:r>
          </w:p>
        </w:tc>
        <w:tc>
          <w:tcPr>
            <w:tcW w:type="dxa" w:w="680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/</w:t>
            </w:r>
            <m:oMath>
              <m:r>
                <m:rPr>
                  <m:sty m:val="p"/>
                </m:rPr>
                <m:t>•</m:t>
              </m:r>
            </m:oMath>
          </w:p>
        </w:tc>
        <w:tc>
          <w:tcPr>
            <w:tcW w:type="dxa" w:w="1928"/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  <w:tr>
        <w:trPr>
          <w:cantSplit/>
        </w:trPr>
        <w:tc>
          <w:tcPr>
            <w:tcW w:type="dxa" w:w="2721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left"/>
            </w:pPr>
            <w:r>
              <w:rPr>
                <w:rFonts w:ascii="Arial" w:hAnsi="Arial"/>
                <w:sz w:val="16"/>
              </w:rPr>
              <w:t xml:space="preserve">Web apps</w:t>
            </w:r>
            <w:r>
              <w:rPr>
                <w:rFonts w:ascii="Arial" w:hAnsi="Arial"/>
                <w:sz w:val="16"/>
                <w:vertAlign w:val="superscript"/>
              </w:rPr>
              <w:t xml:space="preserve">c</w:t>
            </w:r>
          </w:p>
        </w:tc>
        <w:tc>
          <w:tcPr>
            <w:tcW w:type="dxa" w:w="680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794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∘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134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907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  <w:tc>
          <w:tcPr>
            <w:tcW w:type="dxa" w:w="1928"/>
            <w:tcBorders>
              <w:bottom w:val="single" w:sz="12" w:color="000000"/>
            </w:tcBorders>
            <w:vAlign w:val="center"/>
          </w:tcPr>
          <w:p>
            <w:pPr>
              <w:pStyle w:val="Compact"/>
              <w:spacing w:before="20" w:after="20" w:line="240" w:lineRule="auto"/>
              <w:jc w:val="center"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Fonts w:ascii="Arial" w:hAnsi="Arial"/>
                <w:sz w:val="16"/>
              </w:rPr>
              <w:t xml:space="preserve">​</w:t>
            </w:r>
          </w:p>
        </w:tc>
      </w:tr>
    </w:tbl>
    <w:bookmarkEnd w:id="11"/>
    <w:p>
      <w:pPr>
        <w:pStyle w:val="Heading2"/>
      </w:pPr>
      <w:bookmarkStart w:id="12" w:name="_db63912bafc3b2d96eebb0fc0fe2e98117fd1c5"/>
      <w:r>
        <w:t xml:space="preserve">Statement of need</w:t>
      </w:r>
      <w:bookmarkEnd w:id="12"/>
    </w:p>
    <w:p>
      <w:pPr>
        <w:pStyle w:val="FirstParagraph"/>
      </w:pPr>
      <w:r>
        <w:t xml:space="preserve">The programming requirement is not a marginal obstacle. In our own teaching</w:t>
      </w:r>
      <w:r>
        <w:t xml:space="preserve"> </w:t>
      </w:r>
      <w:r>
        <w:t xml:space="preserve">and collaborative work, the users who most need a defensible qPCR analysis</w:t>
      </w:r>
      <w:r>
        <w:t xml:space="preserve"> </w:t>
      </w:r>
      <w:r>
        <w:t xml:space="preserve">are frequently those least able to install an R environment and write the</w:t>
      </w:r>
      <w:r>
        <w:t xml:space="preserve"> </w:t>
      </w:r>
      <w:r>
        <w:t xml:space="preserve">few lines of code the analysis requires: newly enrolled students, visiting</w:t>
      </w:r>
      <w:r>
        <w:t xml:space="preserve"> </w:t>
      </w:r>
      <w:r>
        <w:t xml:space="preserve">researchers, and wet-lab staff whose projects run for a single season. They</w:t>
      </w:r>
      <w:r>
        <w:t xml:space="preserve"> </w:t>
      </w:r>
      <w:r>
        <w:t xml:space="preserve">fall back either on manual spreadsheet calculations—difficult to audit and</w:t>
      </w:r>
      <w:r>
        <w:t xml:space="preserve"> </w:t>
      </w:r>
      <w:r>
        <w:t xml:space="preserve">easy to get wrong—or on whichever instrument software happens to be</w:t>
      </w:r>
      <w:r>
        <w:t xml:space="preserve"> </w:t>
      </w:r>
      <w:r>
        <w:t xml:space="preserve">installed. Our R package</w:t>
      </w:r>
      <w:r>
        <w:t xml:space="preserve"> </w:t>
      </w:r>
      <w:r>
        <w:t xml:space="preserve">(6)</w:t>
      </w:r>
      <w:r>
        <w:t xml:space="preserve"> </w:t>
      </w:r>
      <w:r>
        <w:t xml:space="preserve">provides the algorithms, but</w:t>
      </w:r>
      <w:r>
        <w:t xml:space="preserve"> </w:t>
      </w:r>
      <w:r>
        <w:t xml:space="preserve">its use is bounded by the R environment itself.</w:t>
      </w:r>
    </w:p>
    <w:p>
      <w:pPr>
        <w:pStyle w:val="BodyText"/>
      </w:pPr>
      <w:r>
        <w:t xml:space="preserve">As a pragmatic test of the workflow, we re-analysed the two real example</w:t>
      </w:r>
      <w:r>
        <w:t xml:space="preserve"> </w:t>
      </w:r>
      <w:r>
        <w:t xml:space="preserve">plates distributed with the 2022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paper: one four-fold</w:t>
      </w:r>
      <w:r>
        <w:t xml:space="preserve"> </w:t>
      </w:r>
      <w:r>
        <w:t xml:space="preserve">dilution series and one separate treatment plate with four biological</w:t>
      </w:r>
      <w:r>
        <w:t xml:space="preserve"> </w:t>
      </w:r>
      <w:r>
        <w:t xml:space="preserve">replicates. Both analyses were completed through the graphical interface and</w:t>
      </w:r>
      <w:r>
        <w:t xml:space="preserve"> </w:t>
      </w:r>
      <w:r>
        <w:t xml:space="preserve">exported with a parameter record, without a spreadsheet or custom script</w:t>
      </w:r>
      <w:r>
        <w:t xml:space="preserve"> </w:t>
      </w:r>
      <w:r>
        <w:t xml:space="preserve">(Supplementary Table S3). This is a reproducible published-data re-analysis,</w:t>
      </w:r>
      <w:r>
        <w:t xml:space="preserve"> </w:t>
      </w:r>
      <w:r>
        <w:t xml:space="preserve">not a controlled human-factors trial.</w:t>
      </w:r>
    </w:p>
    <w:p>
      <w:pPr>
        <w:pStyle w:val="BodyText"/>
      </w:pPr>
      <w:r>
        <w:t xml:space="preserve">We therefore reimplemented the analytical core as a native desktop</w:t>
      </w:r>
      <w:r>
        <w:t xml:space="preserve"> </w:t>
      </w:r>
      <w:r>
        <w:t xml:space="preserve">application that implements the same three quantification methods while</w:t>
      </w:r>
      <w:r>
        <w:t xml:space="preserve"> </w:t>
      </w:r>
      <w:r>
        <w:t xml:space="preserve">removing every prerequisite except a double-click.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makes</w:t>
      </w:r>
      <w:r>
        <w:t xml:space="preserve"> </w:t>
      </w:r>
      <w:r>
        <w:t xml:space="preserve">three contributions: (i) a C++/Qt architecture in which a tested core</w:t>
      </w:r>
      <w:r>
        <w:t xml:space="preserve"> </w:t>
      </w:r>
      <w:r>
        <w:t xml:space="preserve">algorithm library is decoupled from a web-based user interface; (ii) a</w:t>
      </w:r>
      <w:r>
        <w:t xml:space="preserve"> </w:t>
      </w:r>
      <w:r>
        <w:t xml:space="preserve">reproducible validation against an independent base-R reference across all</w:t>
      </w:r>
      <w:r>
        <w:t xml:space="preserve"> </w:t>
      </w:r>
      <w:r>
        <w:t xml:space="preserve">quantification methods; and</w:t>
      </w:r>
      <w:r>
        <w:t xml:space="preserve"> </w:t>
      </w:r>
      <w:r>
        <w:t xml:space="preserve">(iii) statistical and functional extensions beyond the R version</w:t>
      </w:r>
      <w:r>
        <w:t xml:space="preserve"> </w:t>
      </w:r>
      <w:r>
        <w:t xml:space="preserve">(non-parametric tests, effect sizes, outlier removal, quality-control</w:t>
      </w:r>
      <w:r>
        <w:t xml:space="preserve"> </w:t>
      </w:r>
      <w:r>
        <w:t xml:space="preserve">warnings, automatic reference-gene selection). Preparing the port also</w:t>
      </w:r>
      <w:r>
        <w:t xml:space="preserve"> </w:t>
      </w:r>
      <w:r>
        <w:t xml:space="preserve">revealed defects in result aggregation shared with the R package—the input</w:t>
      </w:r>
      <w:r>
        <w:t xml:space="preserve"> </w:t>
      </w:r>
      <w:r>
        <w:t xml:space="preserve">of the reference-gene stability measure, replicate handling in the efficiency</w:t>
      </w:r>
      <w:r>
        <w:t xml:space="preserve"> </w:t>
      </w:r>
      <w:r>
        <w:t xml:space="preserve">method, and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calibrator—as well as one specific to the</w:t>
      </w:r>
      <w:r>
        <w:t xml:space="preserve"> </w:t>
      </w:r>
      <w:r>
        <w:t xml:space="preserve">C++ code (multiple-comparison</w:t>
      </w:r>
      <w:r>
        <w:t xml:space="preserve"> </w:t>
      </w:r>
      <m:oMath>
        <m:r>
          <m:t>P</m:t>
        </m:r>
      </m:oMath>
      <w:r>
        <w:t xml:space="preserve">-values); all were corrected and are covered</w:t>
      </w:r>
      <w:r>
        <w:t xml:space="preserve"> </w:t>
      </w:r>
      <w:r>
        <w:t xml:space="preserve">by regression tests.</w:t>
      </w:r>
    </w:p>
    <w:p>
      <w:pPr>
        <w:pStyle w:val="Heading1"/>
      </w:pPr>
      <w:bookmarkStart w:id="13" w:name="_implementation"/>
      <w:r>
        <w:t xml:space="preserve">Implementation</w:t>
      </w:r>
      <w:bookmarkEnd w:id="13"/>
    </w:p>
    <w:p>
      <w:pPr>
        <w:pStyle w:val="Heading2"/>
      </w:pPr>
      <w:bookmarkStart w:id="14" w:name="_architecture"/>
      <w:r>
        <w:t xml:space="preserve">Architecture</w:t>
      </w:r>
      <w:bookmarkEnd w:id="14"/>
    </w:p>
    <w:p>
      <w:pPr>
        <w:pStyle w:val="FirstParagraph"/>
      </w:pPr>
      <w:r>
        <w:rPr>
          <w:i/>
          <w:iCs/>
        </w:rPr>
        <w:t xml:space="preserve">qPCRtools</w:t>
      </w:r>
      <w:r>
        <w:t xml:space="preserve"> </w:t>
      </w:r>
      <w:r>
        <w:t xml:space="preserve">is written in C++17 and built on Qt6</w:t>
      </w:r>
      <w:r>
        <w:t xml:space="preserve"> </w:t>
      </w:r>
      <w:r>
        <w:t xml:space="preserve">(20)</w:t>
      </w:r>
      <w:r>
        <w:t xml:space="preserve">. The user</w:t>
      </w:r>
      <w:r>
        <w:t xml:space="preserve"> </w:t>
      </w:r>
      <w:r>
        <w:t xml:space="preserve">interface is rendered with web technologies—Bootstrap 5.3 for layout and</w:t>
      </w:r>
      <w:r>
        <w:t xml:space="preserve"> </w:t>
      </w:r>
      <w:r>
        <w:t xml:space="preserve">Apache ECharts</w:t>
      </w:r>
      <w:r>
        <w:t xml:space="preserve"> </w:t>
      </w:r>
      <w:r>
        <w:t xml:space="preserve">(21)</w:t>
      </w:r>
      <w:r>
        <w:t xml:space="preserve"> </w:t>
      </w:r>
      <w:r>
        <w:t xml:space="preserve">for figures—inside a</w:t>
      </w:r>
      <w:r>
        <w:t xml:space="preserve"> </w:t>
      </w:r>
      <w:r>
        <w:rPr>
          <w:rStyle w:val="VerbatimChar"/>
        </w:rPr>
        <w:t xml:space="preserve">QWebEngineView</w:t>
      </w:r>
      <w:r>
        <w:t xml:space="preserve">, and exchanges data with the native backend through</w:t>
      </w:r>
      <w:r>
        <w:t xml:space="preserve"> </w:t>
      </w:r>
      <w:r>
        <w:t xml:space="preserve">Qt WebChannel. All numerical computation therefore stays in compiled code</w:t>
      </w:r>
      <w:r>
        <w:t xml:space="preserve"> </w:t>
      </w:r>
      <w:r>
        <w:t xml:space="preserve">while the presentation layer remains plain HTML, CSS and JavaScript. The</w:t>
      </w:r>
      <w:r>
        <w:t xml:space="preserve"> </w:t>
      </w:r>
      <w:r>
        <w:t xml:space="preserve">analytical core is a standalone static library,</w:t>
      </w:r>
      <w:r>
        <w:t xml:space="preserve"> </w:t>
      </w:r>
      <w:r>
        <w:rPr>
          <w:rStyle w:val="VerbatimChar"/>
        </w:rPr>
        <w:t xml:space="preserve">qpcr_core</w:t>
      </w:r>
      <w:r>
        <w:t xml:space="preserve">, that</w:t>
      </w:r>
      <w:r>
        <w:t xml:space="preserve"> </w:t>
      </w:r>
      <w:r>
        <w:t xml:space="preserve">depends only on Qt Core (plus optional Eigen and GSL) and is independent of</w:t>
      </w:r>
      <w:r>
        <w:t xml:space="preserve"> </w:t>
      </w:r>
      <w:r>
        <w:t xml:space="preserve">the GUI, so it is exercised directly by the unit tests and by the</w:t>
      </w:r>
      <w:r>
        <w:t xml:space="preserve"> </w:t>
      </w:r>
      <w:r>
        <w:t xml:space="preserve">command-line validation driver. Figure </w:t>
      </w:r>
      <w:hyperlink w:anchor="_3b837d3fe3ac2258d200b27a800c99d56883dbb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</w:t>
      </w:r>
      <w:r>
        <w:t xml:space="preserve"> </w:t>
      </w:r>
      <w:r>
        <w:t xml:space="preserve">interface at the end of a complete analysis.</w:t>
      </w:r>
    </w:p>
    <w:bookmarkStart w:id="18" w:name="_3b837d3fe3ac2258d200b27a800c99d56883dbb"/>
    <w:p>
      <w:pPr>
        <w:pStyle w:val="CaptionedFigure"/>
        <w:jc w:val="center"/>
      </w:pPr>
      <w:r>
        <w:drawing>
          <wp:inline>
            <wp:extent cx="5400000" cy="3510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igures/fig1_results_page_en_v4_2026102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rFonts w:ascii="Arial" w:hAnsi="Arial"/>
          <w:b/>
          <w:sz w:val="19"/>
        </w:rPr>
        <w:t xml:space="preserve">Figure 1. </w:t>
      </w:r>
      <w:r>
        <w:rPr>
          <w:sz w:val="19"/>
        </w:rPr>
        <w:t xml:space="preserve">The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qPCRtools</w:t>
      </w:r>
      <w:r>
        <w:rPr>
          <w:sz w:val="19"/>
        </w:rPr>
        <w:t xml:space="preserve"> </w:t>
      </w:r>
      <w:r>
        <w:rPr>
          <w:sz w:val="19"/>
        </w:rPr>
        <w:t xml:space="preserve">desktop interface (screen capture of</w:t>
      </w:r>
      <w:r>
        <w:rPr>
          <w:sz w:val="19"/>
        </w:rPr>
        <w:t xml:space="preserve"> </w:t>
      </w:r>
      <w:r>
        <w:rPr>
          <w:sz w:val="19"/>
        </w:rPr>
        <w:t xml:space="preserve">version 1.3.0). The upper panel is the summary table from the bundled</w:t>
      </w:r>
      <w:r>
        <w:rPr>
          <w:sz w:val="19"/>
        </w:rPr>
        <w:t xml:space="preserve"> </w:t>
      </w:r>
      <w:r>
        <w:rPr>
          <w:sz w:val="19"/>
        </w:rPr>
        <w:t xml:space="preserve">example—the target gene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fos-glo-myc</w:t>
      </w:r>
      <w:r>
        <w:rPr>
          <w:sz w:val="19"/>
        </w:rPr>
        <w:t xml:space="preserve"> </w:t>
      </w:r>
      <w:r>
        <w:rPr>
          <w:sz w:val="19"/>
        </w:rPr>
        <w:t xml:space="preserve">normalised to</w:t>
      </w:r>
      <w:r>
        <w:rPr>
          <w:sz w:val="19"/>
        </w:rPr>
        <w:t xml:space="preserve"> </w:t>
      </w:r>
      <w:r>
        <w:rPr>
          <w:i/>
          <w:iCs/>
          <w:sz w:val="19"/>
        </w:rPr>
        <w:t xml:space="preserve">Beta Actin</w:t>
      </w:r>
      <w:r>
        <w:rPr>
          <w:sz w:val="19"/>
        </w:rPr>
        <w:t xml:space="preserve">,</w:t>
      </w:r>
      <w:r>
        <w:rPr>
          <w:sz w:val="19"/>
        </w:rPr>
        <w:t xml:space="preserve"> </w:t>
      </w:r>
      <w:r>
        <w:rPr>
          <w:sz w:val="19"/>
        </w:rPr>
        <w:t xml:space="preserve">three dose groups with three biological replicates each—analysed by the</w:t>
      </w:r>
      <w:r>
        <w:rPr>
          <w:sz w:val="19"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sz w:val="19"/>
        </w:rPr>
        <w:t xml:space="preserve"> </w:t>
      </w:r>
      <w:r>
        <w:rPr>
          <w:sz w:val="19"/>
        </w:rPr>
        <w:t xml:space="preserve">method with Welch tests against the control. It reports</w:t>
      </w:r>
      <w:r>
        <w:rPr>
          <w:sz w:val="19"/>
        </w:rPr>
        <w:t xml:space="preserve"> </w:t>
      </w:r>
      <w:r>
        <w:rPr>
          <w:sz w:val="19"/>
        </w:rPr>
        <w:t xml:space="preserve">the mean, standard deviation, Holm-adjusted and raw</w:t>
      </w:r>
      <w:r>
        <w:rPr>
          <w:sz w:val="19"/>
        </w:rPr>
        <w:t xml:space="preserve"> </w:t>
      </w:r>
      <m:oMath>
        <m:r>
          <m:t>P</m:t>
        </m:r>
      </m:oMath>
      <w:r>
        <w:rPr>
          <w:sz w:val="19"/>
        </w:rPr>
        <w:t xml:space="preserve"> </w:t>
      </w:r>
      <w:r>
        <w:rPr>
          <w:sz w:val="19"/>
        </w:rPr>
        <w:t xml:space="preserve">values, adjustment</w:t>
      </w:r>
      <w:r>
        <w:rPr>
          <w:sz w:val="19"/>
        </w:rPr>
        <w:t xml:space="preserve"> </w:t>
      </w:r>
      <w:r>
        <w:rPr>
          <w:sz w:val="19"/>
        </w:rPr>
        <w:t xml:space="preserve">method and significance symbol. The lower panel redraws the group means with</w:t>
      </w:r>
      <w:r>
        <w:rPr>
          <w:sz w:val="19"/>
        </w:rPr>
        <w:t xml:space="preserve"> </w:t>
      </w:r>
      <w:r>
        <w:rPr>
          <w:sz w:val="19"/>
        </w:rPr>
        <w:t xml:space="preserve">standard-deviation error bars, individual biological replicates and</w:t>
      </w:r>
      <w:r>
        <w:rPr>
          <w:sz w:val="19"/>
        </w:rPr>
        <w:t xml:space="preserve"> </w:t>
      </w:r>
      <w:r>
        <w:rPr>
          <w:sz w:val="19"/>
        </w:rPr>
        <w:t xml:space="preserve">Holm-adjusted symbols; the error bars are not repeated as a legend entry.</w:t>
      </w:r>
      <w:r>
        <w:rPr>
          <w:sz w:val="19"/>
        </w:rPr>
        <w:t xml:space="preserve"> </w:t>
      </w:r>
      <w:r>
        <w:rPr>
          <w:sz w:val="19"/>
        </w:rPr>
        <w:t xml:space="preserve">The interface is bilingual (Chinese/English); the English language is</w:t>
      </w:r>
      <w:r>
        <w:rPr>
          <w:sz w:val="19"/>
        </w:rPr>
        <w:t xml:space="preserve"> </w:t>
      </w:r>
      <w:r>
        <w:rPr>
          <w:sz w:val="19"/>
        </w:rPr>
        <w:t xml:space="preserve">shown here.</w:t>
      </w:r>
    </w:p>
    <w:bookmarkEnd w:id="18"/>
    <w:p>
      <w:pPr>
        <w:pStyle w:val="Heading2"/>
      </w:pPr>
      <w:bookmarkStart w:id="19" w:name="_c0ed66cae81bb692418be696b2d849edcf6b6bc"/>
      <w:r>
        <w:t xml:space="preserve">Quantification algorithms</w:t>
      </w:r>
      <w:bookmarkEnd w:id="19"/>
    </w:p>
    <w:p>
      <w:pPr>
        <w:pStyle w:val="FirstParagraph"/>
      </w:pPr>
      <w:r>
        <w:t xml:space="preserve">The core reimplements the methods of the R package. Amplification efficiency</w:t>
      </w:r>
      <w:r>
        <w:t xml:space="preserve"> </w:t>
      </w:r>
      <w:r>
        <w:t xml:space="preserve">is obtained by ordinary least squares of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rPr>
            <m:nor/>
          </m:rPr>
          <m:t>concentration</m:t>
        </m:r>
        <m:r>
          <m:rPr>
            <m:sty m:val="p"/>
          </m:rPr>
          <m:t>)</m:t>
        </m:r>
      </m:oMath>
      <w:r>
        <w:t xml:space="preserve">, i.e. the number of</w:t>
      </w:r>
      <w:r>
        <w:t xml:space="preserve"> </w:t>
      </w:r>
      <m:oMath>
        <m:r>
          <m:t>d</m:t>
        </m:r>
      </m:oMath>
      <w:r>
        <w:t xml:space="preserve">-fold dilution</w:t>
      </w:r>
      <w:r>
        <w:t xml:space="preserve"> </w:t>
      </w:r>
      <w:r>
        <w:t xml:space="preserve">steps (</w:t>
      </w:r>
      <m:oMath>
        <m:r>
          <m:t>d</m:t>
        </m:r>
      </m:oMath>
      <w:r>
        <w:t xml:space="preserve"> </w:t>
      </w:r>
      <w:r>
        <w:t xml:space="preserve">= dilution factor, 4 in the bundled example), yielding slope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intercept,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a regression</w:t>
      </w:r>
      <w:r>
        <w:t xml:space="preserve"> </w:t>
      </w:r>
      <m:oMath>
        <m:r>
          <m:t>P</m:t>
        </m:r>
      </m:oMath>
      <w:r>
        <w:t xml:space="preserve">-value; efficiency 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s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expressed per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unit (equivalently, per dilution step).</w:t>
      </w:r>
      <w:r>
        <w:t xml:space="preserve"> </w:t>
      </w:r>
      <w:r>
        <w:t xml:space="preserve">Relative expression is computed by the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methods</w:t>
      </w:r>
      <w:r>
        <w:t xml:space="preserve"> </w:t>
      </w:r>
      <w:r>
        <w:t xml:space="preserve">(4)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g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q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g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q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rPr>
                                  <m:sty m:val="p"/>
                                </m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rPr>
                                  <m:sty m:val="p"/>
                                </m:rPr>
                                <m:t>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ba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t</m:t>
                      </m:r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first term is sample-level and the overbar is the mean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across control biological replicates. Relative expression is also computed</w:t>
      </w:r>
      <w:r>
        <w:t xml:space="preserve"> </w:t>
      </w:r>
      <w:r>
        <w:t xml:space="preserve">by an efficiency-based (RqPCR) method</w:t>
      </w:r>
      <w:r>
        <w:t xml:space="preserve"> </w:t>
      </w:r>
      <w:r>
        <w:t xml:space="preserve">(13)</w:t>
      </w:r>
      <w:r>
        <w:t xml:space="preserve"> </w:t>
      </w:r>
      <w:r>
        <w:t xml:space="preserve">in which</w:t>
      </w:r>
      <w:r>
        <w:t xml:space="preserve"> </w:t>
      </w:r>
      <w:r>
        <w:t xml:space="preserve">per-sample quantities are</w:t>
      </w:r>
      <w:r>
        <w:t xml:space="preserve"> </w:t>
      </w:r>
      <m:oMath>
        <m:sSup>
          <m:e>
            <m:r>
              <m:t>E</m:t>
            </m:r>
          </m:e>
          <m:sup>
            <m:r>
              <m:t> </m:t>
            </m:r>
            <m:sSub>
              <m:e>
                <m:r>
                  <m:t>C</m:t>
                </m:r>
              </m:e>
              <m:sub>
                <m:r>
                  <m:t>q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q</m:t>
                </m:r>
              </m:sub>
            </m:sSub>
          </m:sup>
        </m:sSup>
      </m:oMath>
      <w:r>
        <w:t xml:space="preserve">, normalized by the geometric</w:t>
      </w:r>
      <w:r>
        <w:t xml:space="preserve"> </w:t>
      </w:r>
      <w:r>
        <w:t xml:space="preserve">mean of one or more reference genes</w:t>
      </w:r>
      <w:r>
        <w:t xml:space="preserve"> </w:t>
      </w:r>
      <w:r>
        <w:t xml:space="preserve">(5)</w:t>
      </w:r>
      <w:r>
        <w:t xml:space="preserve">. In this method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obtained separately within each biological replicate across</w:t>
      </w:r>
      <w:r>
        <w:t xml:space="preserve"> </w:t>
      </w:r>
      <w:r>
        <w:t xml:space="preserve">the treatments, so the calculation is a within-block comparison rather than a</w:t>
      </w:r>
      <w:r>
        <w:t xml:space="preserve"> </w:t>
      </w:r>
      <w:r>
        <w:t xml:space="preserve">general unpaired design. Efficiencies are supplied per gene in the design</w:t>
      </w:r>
      <w:r>
        <w:t xml:space="preserve"> </w:t>
      </w:r>
      <w:r>
        <w:t xml:space="preserve">table (or estimated by the built-in standard-curve module).</w:t>
      </w:r>
    </w:p>
    <w:p>
      <w:pPr>
        <w:pStyle w:val="Heading2"/>
      </w:pPr>
      <w:bookmarkStart w:id="20" w:name="_d5249b3a2e3f62adee575876c26009231d87b92"/>
      <w:r>
        <w:t xml:space="preserve">Statistical analysis</w:t>
      </w:r>
      <w:bookmarkEnd w:id="20"/>
    </w:p>
    <w:p>
      <w:pPr>
        <w:pStyle w:val="FirstParagraph"/>
      </w:pPr>
      <w:r>
        <w:t xml:space="preserve">Groups are compared on the linear relative-expression scale, which is</w:t>
      </w:r>
      <w:r>
        <w:t xml:space="preserve"> </w:t>
      </w:r>
      <w:r>
        <w:t xml:space="preserve">the scale on which values are reported and plotted. Because the linear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scales can give different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 for the same data, the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-scale comparison is reported as a sensitivity analysis in</w:t>
      </w:r>
      <w:r>
        <w:t xml:space="preserve"> </w:t>
      </w:r>
      <w:r>
        <w:t xml:space="preserve">Supplementary Table S2. The core</w:t>
      </w:r>
      <w:r>
        <w:t xml:space="preserve"> </w:t>
      </w:r>
      <w:r>
        <w:t xml:space="preserve">library implements Welch and Student two-sample</w:t>
      </w:r>
      <w:r>
        <w:t xml:space="preserve"> </w:t>
      </w:r>
      <m:oMath>
        <m:r>
          <m:t>t</m:t>
        </m:r>
      </m:oMath>
      <w:r>
        <w:t xml:space="preserve">-tests, the paired</w:t>
      </w:r>
      <w:r>
        <w:t xml:space="preserve"> </w:t>
      </w:r>
      <m:oMath>
        <m:r>
          <m:t>t</m:t>
        </m:r>
      </m:oMath>
      <w:r>
        <w:t xml:space="preserve">-test, Wilcoxon rank-sum and signed-rank tests, one-way ANOVA with Tukey</w:t>
      </w:r>
      <w:r>
        <w:t xml:space="preserve"> </w:t>
      </w:r>
      <w:r>
        <w:t xml:space="preserve">HSD letters, Cohen’s</w:t>
      </w:r>
      <w:r>
        <w:t xml:space="preserve"> </w:t>
      </w:r>
      <m:oMath>
        <m:r>
          <m:t>d</m:t>
        </m:r>
      </m:oMath>
      <w:r>
        <w:t xml:space="preserve">, IQR-based outlier removal and automatic</w:t>
      </w:r>
      <w:r>
        <w:t xml:space="preserve"> </w:t>
      </w:r>
      <w:r>
        <w:t xml:space="preserve">reference-gene selection by geNorm</w:t>
      </w:r>
      <w:r>
        <w:t xml:space="preserve"> </w:t>
      </w:r>
      <w:r>
        <w:t xml:space="preserve">(12)</w:t>
      </w:r>
      <w:r>
        <w:t xml:space="preserve">; the</w:t>
      </w:r>
      <w:r>
        <w:t xml:space="preserve"> </w:t>
      </w:r>
      <w:r>
        <w:t xml:space="preserve">interface exposes the Welch</w:t>
      </w:r>
      <w:r>
        <w:t xml:space="preserve"> </w:t>
      </w:r>
      <m:oMath>
        <m:r>
          <m:t>t</m:t>
        </m:r>
      </m:oMath>
      <w:r>
        <w:t xml:space="preserve">-test, the rank-sum test and ANOVA with Tukey</w:t>
      </w:r>
      <w:r>
        <w:t xml:space="preserve"> </w:t>
      </w:r>
      <w:r>
        <w:t xml:space="preserve">HSD, while the paired tests are covered by the test suite but not yet offered</w:t>
      </w:r>
      <w:r>
        <w:t xml:space="preserve"> </w:t>
      </w:r>
      <w:r>
        <w:t xml:space="preserve">in the interface. When several groups are compared with the same control,</w:t>
      </w:r>
      <w:r>
        <w:t xml:space="preserve"> </w:t>
      </w:r>
      <w:r>
        <w:t xml:space="preserve">Welch and rank-sum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 are adjusted by Holm’s method within each gene,</w:t>
      </w:r>
      <w:r>
        <w:t xml:space="preserve"> </w:t>
      </w:r>
      <w:r>
        <w:t xml:space="preserve">and the unadjusted value is retained in the exported table. ANOVA uses Tukey</w:t>
      </w:r>
      <w:r>
        <w:t xml:space="preserve"> </w:t>
      </w:r>
      <w:r>
        <w:t xml:space="preserve">HSD. Correction is not applied across genes, which we state as a</w:t>
      </w:r>
      <w:r>
        <w:t xml:space="preserve"> </w:t>
      </w:r>
      <w:r>
        <w:t xml:space="preserve">limitation.</w:t>
      </w:r>
    </w:p>
    <w:p>
      <w:pPr>
        <w:pStyle w:val="Heading2"/>
      </w:pPr>
      <w:bookmarkStart w:id="21" w:name="_fbcff992e236e2c617dfda0ae31fba9c85180c6"/>
      <w:r>
        <w:t xml:space="preserve">Software engineering and scope</w:t>
      </w:r>
      <w:bookmarkEnd w:id="21"/>
    </w:p>
    <w:p>
      <w:pPr>
        <w:pStyle w:val="FirstParagraph"/>
      </w:pPr>
      <w:r>
        <w:t xml:space="preserve">Results are shown as tables that can be exported as CSV or Excel, with Tukey</w:t>
      </w:r>
      <w:r>
        <w:t xml:space="preserve"> </w:t>
      </w:r>
      <w:r>
        <w:t xml:space="preserve">letters in the table. The application renders the figures in the interface:</w:t>
      </w:r>
      <w:r>
        <w:t xml:space="preserve"> </w:t>
      </w:r>
      <w:r>
        <w:t xml:space="preserve">group means with standard-deviation error bars and significance labels, and</w:t>
      </w:r>
      <w:r>
        <w:t xml:space="preserve"> </w:t>
      </w:r>
      <w:r>
        <w:t xml:space="preserve">the fitted standard curves over the measured dilution series, both exportable</w:t>
      </w:r>
      <w:r>
        <w:t xml:space="preserve"> </w:t>
      </w:r>
      <w:r>
        <w:t xml:space="preserve">as PNG images. Each analysis can also be exported as a plain-text</w:t>
      </w:r>
      <w:r>
        <w:t xml:space="preserve"> </w:t>
      </w:r>
      <w:r>
        <w:rPr>
          <w:i/>
          <w:iCs/>
        </w:rPr>
        <w:t xml:space="preserve">analysis record</w:t>
      </w:r>
      <w:r>
        <w:t xml:space="preserve"> </w:t>
      </w:r>
      <w:r>
        <w:t xml:space="preserve">listing the input files and their row counts, the</w:t>
      </w:r>
      <w:r>
        <w:t xml:space="preserve"> </w:t>
      </w:r>
      <w:r>
        <w:t xml:space="preserve">reference gene(s), the control group, the statistical test, the</w:t>
      </w:r>
      <w:r>
        <w:t xml:space="preserve"> </w:t>
      </w:r>
      <w:r>
        <w:t xml:space="preserve">outlier-removal setting, the software version and a timestamp, so that a</w:t>
      </w:r>
      <w:r>
        <w:t xml:space="preserve"> </w:t>
      </w:r>
      <w:r>
        <w:t xml:space="preserve">reader can re-run the analysis without inspecting the session. Quality</w:t>
      </w:r>
      <w:r>
        <w:t xml:space="preserve"> </w:t>
      </w:r>
      <w:r>
        <w:t xml:space="preserve">control is reported as warnings rather than decisions: wells with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above</w:t>
      </w:r>
      <w:r>
        <w:t xml:space="preserve"> </w:t>
      </w:r>
      <w:r>
        <w:t xml:space="preserve">a configurable limit (default 35), samples whose technical replicates differ</w:t>
      </w:r>
      <w:r>
        <w:t xml:space="preserve"> </w:t>
      </w:r>
      <w:r>
        <w:t xml:space="preserve">by more than a configurable standard deviation (default 0.5 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), and</w:t>
      </w:r>
      <w:r>
        <w:t xml:space="preserve"> </w:t>
      </w:r>
      <w:r>
        <w:t xml:space="preserve">primers with efficiency outside 90–110% are listed on the results page and</w:t>
      </w:r>
      <w:r>
        <w:t xml:space="preserve"> </w:t>
      </w:r>
      <w:r>
        <w:t xml:space="preserve">repeated in the analysis record, while no data are removed automatically.</w:t>
      </w:r>
      <w:r>
        <w:t xml:space="preserve"> </w:t>
      </w:r>
      <w:r>
        <w:t xml:space="preserve">MIQE 2.0 requires these quantities to be reported rather than to satisfy fixed</w:t>
      </w:r>
      <w:r>
        <w:t xml:space="preserve"> </w:t>
      </w:r>
      <w:r>
        <w:t xml:space="preserve">cut-offs</w:t>
      </w:r>
      <w:r>
        <w:t xml:space="preserve"> </w:t>
      </w:r>
      <w:r>
        <w:t xml:space="preserve">(2)</w:t>
      </w:r>
      <w:r>
        <w:t xml:space="preserve">, so the defaults are meant to be adapted to</w:t>
      </w:r>
      <w:r>
        <w:t xml:space="preserve"> </w:t>
      </w:r>
      <w:r>
        <w:t xml:space="preserve">the instrument and assay.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is managed with CMake and ships</w:t>
      </w:r>
      <w:r>
        <w:t xml:space="preserve"> </w:t>
      </w:r>
      <w:r>
        <w:t xml:space="preserve">with unit tests; the interface is bilingual and reads CSV/TXT input, and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) workbooks when built with the optional OpenXLSX component</w:t>
      </w:r>
      <w:r>
        <w:t xml:space="preserve"> </w:t>
      </w:r>
      <w:r>
        <w:t xml:space="preserve">(the released binaries read CSV/TXT). It is distributed as a single</w:t>
      </w:r>
      <w:r>
        <w:t xml:space="preserve"> </w:t>
      </w:r>
      <w:r>
        <w:t xml:space="preserve">self-contained executable for Windows and macOS, requiring no R, Python or</w:t>
      </w:r>
      <w:r>
        <w:t xml:space="preserve"> </w:t>
      </w:r>
      <w:r>
        <w:t xml:space="preserve">runtime installation. The macOS binary is built for Apple Silicon, requires</w:t>
      </w:r>
      <w:r>
        <w:t xml:space="preserve"> </w:t>
      </w:r>
      <w:r>
        <w:t xml:space="preserve">macOS 12 or newer, and is ad-hoc signed but not notarized. Linux builds are</w:t>
      </w:r>
      <w:r>
        <w:t xml:space="preserve"> </w:t>
      </w:r>
      <w:r>
        <w:t xml:space="preserve">supported by the source and build scripts but are not part of the released</w:t>
      </w:r>
      <w:r>
        <w:t xml:space="preserve"> </w:t>
      </w:r>
      <w:r>
        <w:t xml:space="preserve">binary set. Two R</w:t>
      </w:r>
      <w:r>
        <w:t xml:space="preserve"> </w:t>
      </w:r>
      <w:r>
        <w:t xml:space="preserve">functions are not yet ported—the standard-curve</w:t>
      </w:r>
      <w:r>
        <w:t xml:space="preserve"> </w:t>
      </w:r>
      <w:r>
        <w:t xml:space="preserve">slope–intercept quantification (</w:t>
      </w:r>
      <w:r>
        <w:rPr>
          <w:rStyle w:val="VerbatimChar"/>
        </w:rPr>
        <w:t xml:space="preserve">CalExpCurve</w:t>
      </w:r>
      <w:r>
        <w:t xml:space="preserve">) and the</w:t>
      </w:r>
      <w:r>
        <w:t xml:space="preserve"> </w:t>
      </w:r>
      <w:r>
        <w:t xml:space="preserve">reverse-transcription reagent volume calculation (</w:t>
      </w:r>
      <w:r>
        <w:rPr>
          <w:rStyle w:val="VerbatimChar"/>
        </w:rPr>
        <w:t xml:space="preserve">CalRTable</w:t>
      </w:r>
      <w:r>
        <w:t xml:space="preserve">)—and</w:t>
      </w:r>
      <w:r>
        <w:t xml:space="preserve"> </w:t>
      </w:r>
      <w:r>
        <w:t xml:space="preserve">are planned for a future release.</w:t>
      </w:r>
    </w:p>
    <w:p>
      <w:pPr>
        <w:pStyle w:val="Heading1"/>
      </w:pPr>
      <w:bookmarkStart w:id="22" w:name="_results"/>
      <w:r>
        <w:t xml:space="preserve">Results</w:t>
      </w:r>
      <w:bookmarkEnd w:id="22"/>
    </w:p>
    <w:p>
      <w:pPr>
        <w:pStyle w:val="Heading2"/>
      </w:pPr>
      <w:bookmarkStart w:id="23" w:name="_7c6cc7bd14218d655201c8639ba825da328de79"/>
      <w:r>
        <w:t xml:space="preserve">Typical analysis workflow</w:t>
      </w:r>
      <w:bookmarkEnd w:id="23"/>
    </w:p>
    <w:p>
      <w:pPr>
        <w:pStyle w:val="FirstParagraph"/>
      </w:pPr>
      <w:r>
        <w:t xml:space="preserve">We applied the application to the bundled example 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examples/cq.csv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examples/design.csv</w:t>
      </w:r>
      <w:r>
        <w:t xml:space="preserve">): the target gene</w:t>
      </w:r>
      <w:r>
        <w:t xml:space="preserve"> </w:t>
      </w:r>
      <w:r>
        <w:rPr>
          <w:i/>
          <w:iCs/>
        </w:rPr>
        <w:t xml:space="preserve">fos-glo-myc</w:t>
      </w:r>
      <w:r>
        <w:t xml:space="preserve"> </w:t>
      </w:r>
      <w:r>
        <w:t xml:space="preserve">against the reference gene</w:t>
      </w:r>
      <w:r>
        <w:t xml:space="preserve"> </w:t>
      </w:r>
      <w:r>
        <w:rPr>
          <w:i/>
          <w:iCs/>
        </w:rPr>
        <w:t xml:space="preserve">Beta Actin</w:t>
      </w:r>
      <w:r>
        <w:t xml:space="preserve"> </w:t>
      </w:r>
      <w:r>
        <w:t xml:space="preserve">across</w:t>
      </w:r>
      <w:r>
        <w:t xml:space="preserve"> </w:t>
      </w:r>
      <w:r>
        <w:t xml:space="preserve">three treatment groups (0, 0.5, 1) with three biological replicates each.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method and Welch tests against the control, the</w:t>
      </w:r>
      <w:r>
        <w:t xml:space="preserve"> </w:t>
      </w:r>
      <w:r>
        <w:t xml:space="preserve">mean relative expression was 1.01, 1.92 and 2.74 in the three groups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biological replicates). The comparisons against the control had</w:t>
      </w:r>
      <w:r>
        <w:t xml:space="preserve"> </w:t>
      </w:r>
      <w:r>
        <w:t xml:space="preserve">unadjusted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0.0060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0.0222</m:t>
        </m:r>
      </m:oMath>
      <w:r>
        <w:t xml:space="preserve">; after Holm adjustment</w:t>
      </w:r>
      <w:r>
        <w:t xml:space="preserve"> </w:t>
      </w:r>
      <w:r>
        <w:t xml:space="preserve">they were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0.0121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0.0222</m:t>
        </m:r>
      </m:oMath>
      <w:r>
        <w:t xml:space="preserve">. As defined by Livak and Schmittgen,</w:t>
      </w:r>
      <w:r>
        <w:t xml:space="preserve"> </w:t>
      </w:r>
      <w:r>
        <w:t xml:space="preserve">the calibrator is the control group. These values are reproduced without the</w:t>
      </w:r>
      <w:r>
        <w:t xml:space="preserve"> </w:t>
      </w:r>
      <w:r>
        <w:t xml:space="preserve">application by</w:t>
      </w:r>
      <w:r>
        <w:t xml:space="preserve"> </w:t>
      </w:r>
      <w:r>
        <w:rPr>
          <w:rStyle w:val="VerbatimChar"/>
        </w:rPr>
        <w:t xml:space="preserve">validation/</w:t>
      </w:r>
      <w:r>
        <w:t xml:space="preserve"> </w:t>
      </w:r>
      <w:r>
        <w:rPr>
          <w:rStyle w:val="VerbatimChar"/>
        </w:rPr>
        <w:t xml:space="preserve">check_example_stats.R</w:t>
      </w:r>
      <w:r>
        <w:t xml:space="preserve">, and the complete</w:t>
      </w:r>
      <w:r>
        <w:t xml:space="preserve"> </w:t>
      </w:r>
      <w:r>
        <w:t xml:space="preserve">output is shown in Supplementary Figure S1B. On a four-fold dilution series</w:t>
      </w:r>
      <w:r>
        <w:t xml:space="preserve"> </w:t>
      </w:r>
      <w:r>
        <w:t xml:space="preserve">of four genes, the standard-curve module recovered slopes of</w:t>
      </w:r>
      <w:r>
        <w:t xml:space="preserve"> </w:t>
      </w:r>
      <m:oMath>
        <m:r>
          <m:rPr>
            <m:sty m:val="p"/>
          </m:rPr>
          <m:t>−</m:t>
        </m:r>
        <m:r>
          <m:t>2.07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2.24</m:t>
        </m:r>
      </m:oMath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per dilution step. Three curves had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0.99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efficiencies of 0.85–0.94; Gene1 had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0.75</m:t>
        </m:r>
      </m:oMath>
      <w:r>
        <w:t xml:space="preserve"> </w:t>
      </w:r>
      <w:r>
        <w:t xml:space="preserve">and was correctly flagged</w:t>
      </w:r>
      <w:r>
        <w:t xml:space="preserve"> </w:t>
      </w:r>
      <w:r>
        <w:t xml:space="preserve">as unsuitable. The default 90–110% rule additionally flagged Gene3 (85.5%)</w:t>
      </w:r>
      <w:r>
        <w:t xml:space="preserve"> </w:t>
      </w:r>
      <w:r>
        <w:t xml:space="preserve">and Gene4 (87.3%), and the quality-control panel flagged the single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well of Gene1.</w:t>
      </w:r>
    </w:p>
    <w:p>
      <w:pPr>
        <w:pStyle w:val="BodyText"/>
      </w:pPr>
      <w:r>
        <w:t xml:space="preserve">In a second analysis of the two published example plates distributed with the</w:t>
      </w:r>
      <w:r>
        <w:t xml:space="preserve"> </w:t>
      </w:r>
      <w:r>
        <w:t xml:space="preserve">2022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paper, we used the dilution series to fit four curves</w:t>
      </w:r>
      <w:r>
        <w:t xml:space="preserve"> </w:t>
      </w:r>
      <w:r>
        <w:t xml:space="preserve">and the separate treatment plate to compare five target genes with</w:t>
      </w:r>
      <w:r>
        <w:t xml:space="preserve"> </w:t>
      </w:r>
      <w:r>
        <w:rPr>
          <w:i/>
          <w:iCs/>
        </w:rPr>
        <w:t xml:space="preserve">OsUBQ</w:t>
      </w:r>
      <w:r>
        <w:t xml:space="preserve"> </w:t>
      </w:r>
      <w:r>
        <w:t xml:space="preserve">in two groups with four biological replicates. Gene1 failed</w:t>
      </w:r>
      <w:r>
        <w:t xml:space="preserve"> </w:t>
      </w:r>
      <w:r>
        <w:t xml:space="preserve">quality control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0.7509</m:t>
        </m:r>
      </m:oMath>
      <w:r>
        <w:t xml:space="preserve">), the other curves had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0.9983</m:t>
        </m:r>
      </m:oMath>
      <w:r>
        <w:t xml:space="preserve">–</w:t>
      </w:r>
      <m:oMath>
        <m:r>
          <m:t>0.9993</m:t>
        </m:r>
      </m:oMath>
      <w:r>
        <w:t xml:space="preserve">, and the supplied gene-specific efficiencies</w:t>
      </w:r>
      <w:r>
        <w:t xml:space="preserve"> </w:t>
      </w:r>
      <w:r>
        <w:t xml:space="preserve">selected standard-curve expression rather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Δ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Welch tests with Holm adjustment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0.0368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OsPR10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0.00230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OsWAK91</w:t>
      </w:r>
      <w:r>
        <w:t xml:space="preserve">; the other three genes were not</w:t>
      </w:r>
      <w:r>
        <w:t xml:space="preserve"> </w:t>
      </w:r>
      <w:r>
        <w:t xml:space="preserve">significant. The workflow exported summary and replicate-level tables, both</w:t>
      </w:r>
      <w:r>
        <w:t xml:space="preserve"> </w:t>
      </w:r>
      <w:r>
        <w:t xml:space="preserve">figures and a parameter record, and is reproduced by a deterministic checker</w:t>
      </w:r>
      <w:r>
        <w:t xml:space="preserve"> </w:t>
      </w:r>
      <w:r>
        <w:t xml:space="preserve">(Supplementary Table S3). The two plates are separate published examples and</w:t>
      </w:r>
      <w:r>
        <w:t xml:space="preserve"> </w:t>
      </w:r>
      <w:r>
        <w:t xml:space="preserve">are not presented as one biological experiment; the complete</w:t>
      </w:r>
      <w:r>
        <w:t xml:space="preserve"> </w:t>
      </w:r>
      <w:r>
        <w:t xml:space="preserve">workflow—import, method selection, analysis and export—was performed in</w:t>
      </w:r>
      <w:r>
        <w:t xml:space="preserve"> </w:t>
      </w:r>
      <w:r>
        <w:t xml:space="preserve">the graphical interface without writing code.</w:t>
      </w:r>
    </w:p>
    <w:p>
      <w:pPr>
        <w:pStyle w:val="Heading2"/>
      </w:pPr>
      <w:bookmarkStart w:id="24" w:name="_3dc39591a96daa6139f471dfd177e94f3673db5"/>
      <w:r>
        <w:t xml:space="preserve">Validation against an independent reference</w:t>
      </w:r>
      <w:bookmarkEnd w:id="24"/>
    </w:p>
    <w:p>
      <w:pPr>
        <w:pStyle w:val="FirstParagraph"/>
      </w:pPr>
      <w:r>
        <w:t xml:space="preserve">We compared the application with an independent base-R implementation</w:t>
      </w:r>
      <w:r>
        <w:t xml:space="preserve"> </w:t>
      </w:r>
      <w:r>
        <w:t xml:space="preserve">of the three quantification methods—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the standard curve</w:t>
      </w:r>
      <w:r>
        <w:t xml:space="preserve"> </w:t>
      </w:r>
      <w:r>
        <w:t xml:space="preserve">and the efficiency-based RqPCR method—using the same on-disk inputs</w:t>
      </w:r>
      <w:r>
        <w:t xml:space="preserve"> </w:t>
      </w:r>
      <w:r>
        <w:t xml:space="preserve">(Supplementary Table S1 and Figure S2). The reference was computed directly</w:t>
      </w:r>
      <w:r>
        <w:t xml:space="preserve"> </w:t>
      </w:r>
      <w:r>
        <w:t xml:space="preserve">from the raw</w:t>
      </w:r>
      <w: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tables and did not call the R package.</w:t>
      </w:r>
      <w:r>
        <w:t xml:space="preserve"> </w:t>
      </w:r>
      <w:r>
        <w:t xml:space="preserve">Across 58 matched quantities, expression values, standard deviations,</w:t>
      </w:r>
      <w:r>
        <w:t xml:space="preserve"> </w:t>
      </w:r>
      <w:r>
        <w:t xml:space="preserve">standard errors, raw and Holm-adjusted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values, slopes, intercepts,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values and efficiencies agreed to floating-point precision (maximum</w:t>
      </w:r>
      <w:r>
        <w:t xml:space="preserve"> </w:t>
      </w:r>
      <w:r>
        <w:t xml:space="preserve">relative difference</w:t>
      </w:r>
      <w:r>
        <w:t xml:space="preserve"> </w:t>
      </w:r>
      <m:oMath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). Every point falls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validation is reproducible from the open scripts in</w:t>
      </w:r>
      <w:r>
        <w:t xml:space="preserve"> </w:t>
      </w:r>
      <w:r>
        <w:rPr>
          <w:rStyle w:val="VerbatimChar"/>
        </w:rPr>
        <w:t xml:space="preserve">validation/</w:t>
      </w:r>
      <w:r>
        <w:t xml:space="preserve"> </w:t>
      </w:r>
      <w:r>
        <w:t xml:space="preserve">(see Availability). Numerical agreement establishes consistency with the</w:t>
      </w:r>
      <w:r>
        <w:t xml:space="preserve"> </w:t>
      </w:r>
      <w:r>
        <w:t xml:space="preserve">specified algorithms, not biological correctness, and the choice of scale</w:t>
      </w:r>
      <w:r>
        <w:t xml:space="preserve"> </w:t>
      </w:r>
      <w:r>
        <w:t xml:space="preserve">remains a design decision. Preparing the port also revealed defects in result</w:t>
      </w:r>
      <w:r>
        <w:t xml:space="preserve"> </w:t>
      </w:r>
      <w:r>
        <w:t xml:space="preserve">aggregation, including the input of the reference-gene stability measure,</w:t>
      </w:r>
      <w:r>
        <w:t xml:space="preserve"> </w:t>
      </w:r>
      <w:r>
        <w:t xml:space="preserve">replicate handling in the efficiency method and the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Δ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calibrator, as well as multiple-comparison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values in the C++ code. Each</w:t>
      </w:r>
      <w:r>
        <w:t xml:space="preserve"> </w:t>
      </w:r>
      <w:r>
        <w:t xml:space="preserve">was corrected and is covered by a regression test. Earlier GUI releases</w:t>
      </w:r>
      <w:r>
        <w:t xml:space="preserve"> </w:t>
      </w:r>
      <w:r>
        <w:t xml:space="preserve">contained these defects and should be re-run with version 1.3.0. The</w:t>
      </w:r>
      <w:r>
        <w:t xml:space="preserve"> </w:t>
      </w:r>
      <w:r>
        <w:t xml:space="preserve">corresponding R package is available as version 2.0.1, and the CRAN-compatible</w:t>
      </w:r>
      <w:r>
        <w:t xml:space="preserve"> </w:t>
      </w:r>
      <w:r>
        <w:t xml:space="preserve">1.0.2 source has been submitted to CRAN. A retrospective assessment of the</w:t>
      </w:r>
      <w:r>
        <w:t xml:space="preserve"> </w:t>
      </w:r>
      <w:r>
        <w:t xml:space="preserve">2022 paper’s example analyses is provided with the R-package release.</w:t>
      </w:r>
    </w:p>
    <w:p>
      <w:pPr>
        <w:pStyle w:val="Heading1"/>
      </w:pPr>
      <w:bookmarkStart w:id="25" w:name="_b6733bbdd45b7f82b75441494c2db8bd79593e1"/>
      <w:r>
        <w:t xml:space="preserve">Availability and implementation</w:t>
      </w:r>
      <w:bookmarkEnd w:id="25"/>
    </w:p>
    <w:p>
      <w:pPr>
        <w:pStyle w:val="FirstParagraph"/>
      </w:pPr>
      <w:r>
        <w:t xml:space="preserve">Implementation:</w:t>
      </w:r>
      <w:r>
        <w:t xml:space="preserve"> </w:t>
      </w:r>
      <w:r>
        <w:rPr>
          <w:i/>
          <w:iCs/>
        </w:rPr>
        <w:t xml:space="preserve">qPCRtools</w:t>
      </w:r>
      <w:r>
        <w:t xml:space="preserve"> </w:t>
      </w:r>
      <w:r>
        <w:t xml:space="preserve">is a C++17/Qt6 desktop application built</w:t>
      </w:r>
      <w:r>
        <w:t xml:space="preserve"> </w:t>
      </w:r>
      <w:r>
        <w:t xml:space="preserve">with CMake (</w:t>
      </w:r>
      <m:oMath>
        <m:r>
          <m:rPr>
            <m:sty m:val="p"/>
          </m:rPr>
          <m:t>≥</m:t>
        </m:r>
      </m:oMath>
      <w:r>
        <w:t xml:space="preserve"> 3.20); the core algorithm library requires only Qt Core and</w:t>
      </w:r>
      <w:r>
        <w:t xml:space="preserve"> </w:t>
      </w:r>
      <w:r>
        <w:t xml:space="preserve">optionally links Eigen3, GSL and OpenXLSX, while the interface requires</w:t>
      </w:r>
      <w:r>
        <w:t xml:space="preserve"> </w:t>
      </w:r>
      <w:r>
        <w:t xml:space="preserve">Qt WebEngine and WebChannel. It is distributed as a single self-contained</w:t>
      </w:r>
      <w:r>
        <w:t xml:space="preserve"> </w:t>
      </w:r>
      <w:r>
        <w:t xml:space="preserve">executable for Windows and macOS—no R, Python or other runtime, and no</w:t>
      </w:r>
      <w:r>
        <w:t xml:space="preserve"> </w:t>
      </w:r>
      <w:r>
        <w:t xml:space="preserve">registration, are needed to download or run it. The macOS binary is built for</w:t>
      </w:r>
      <w:r>
        <w:t xml:space="preserve"> </w:t>
      </w:r>
      <w:r>
        <w:t xml:space="preserve">Apple Silicon, requires macOS 12 or newer, and is ad-hoc signed but not</w:t>
      </w:r>
      <w:r>
        <w:t xml:space="preserve"> </w:t>
      </w:r>
      <w:r>
        <w:t xml:space="preserve">notarized. Linux builds are supported by the source and build scripts but are</w:t>
      </w:r>
      <w:r>
        <w:t xml:space="preserve"> </w:t>
      </w:r>
      <w:r>
        <w:t xml:space="preserve">not part of the released binary set.</w:t>
      </w:r>
    </w:p>
    <w:p>
      <w:pPr>
        <w:pStyle w:val="BodyText"/>
      </w:pPr>
      <w:r>
        <w:t xml:space="preserve">Availability: the source code is freely available under the MIT license at</w:t>
      </w:r>
      <w:r>
        <w:t xml:space="preserve"> </w:t>
      </w:r>
      <w:hyperlink r:id="rId9">
        <w:r>
          <w:rPr>
            <w:rStyle w:val="Hyperlink"/>
          </w:rPr>
          <w:t xml:space="preserve">https://github.com/lixiang117423/qPCRtools_cpp</w:t>
        </w:r>
      </w:hyperlink>
      <w:r>
        <w:t xml:space="preserve">. Pre-built binaries for</w:t>
      </w:r>
      <w:r>
        <w:t xml:space="preserve"> </w:t>
      </w:r>
      <w:r>
        <w:t xml:space="preserve">version 1.3.0 and the matching source tag are in the repository releases. The</w:t>
      </w:r>
      <w:r>
        <w:t xml:space="preserve"> </w:t>
      </w:r>
      <w:r>
        <w:t xml:space="preserve">repository includes documentation, a unit-test suite, example datasets, the</w:t>
      </w:r>
      <w:r>
        <w:t xml:space="preserve"> </w:t>
      </w:r>
      <w:r>
        <w:t xml:space="preserve">published-data re-analysis used in this paper and a fully reproducible</w:t>
      </w:r>
      <w:r>
        <w:t xml:space="preserve"> </w:t>
      </w:r>
      <w:r>
        <w:t xml:space="preserve">validation package (</w:t>
      </w:r>
      <w:r>
        <w:rPr>
          <w:rStyle w:val="VerbatimChar"/>
        </w:rPr>
        <w:t xml:space="preserve">validation/</w:t>
      </w:r>
      <w:r>
        <w:t xml:space="preserve">) comprising a base-R reference, a C++</w:t>
      </w:r>
      <w:r>
        <w:t xml:space="preserve"> </w:t>
      </w:r>
      <w:r>
        <w:t xml:space="preserve">command-line driver linked against</w:t>
      </w:r>
      <w:r>
        <w:t xml:space="preserve"> </w:t>
      </w:r>
      <w:r>
        <w:rPr>
          <w:rStyle w:val="VerbatimChar"/>
        </w:rPr>
        <w:t xml:space="preserve">qpcr_core</w:t>
      </w:r>
      <w:r>
        <w:t xml:space="preserve">, and a comparison</w:t>
      </w:r>
      <w:r>
        <w:t xml:space="preserve"> </w:t>
      </w:r>
      <w:r>
        <w:t xml:space="preserve">script that regenerates all validation outputs and figures. We will keep the</w:t>
      </w:r>
      <w:r>
        <w:t xml:space="preserve"> </w:t>
      </w:r>
      <w:r>
        <w:t xml:space="preserve">software and its source code available for at least two years after</w:t>
      </w:r>
      <w:r>
        <w:t xml:space="preserve"> </w:t>
      </w:r>
      <w:r>
        <w:t xml:space="preserve">publication. Supplementary Figures S1–S2 and Supplementary Tables S1–S2</w:t>
      </w:r>
      <w:r>
        <w:t xml:space="preserve"> </w:t>
      </w:r>
      <w:r>
        <w:t xml:space="preserve">are available online only.</w:t>
      </w:r>
    </w:p>
    <w:p>
      <w:pPr>
        <w:pStyle w:val="Heading1"/>
      </w:pPr>
      <w:bookmarkStart w:id="26" w:name="_b8356044e1855f49faa1ecb5e0ecc373fd3b25d"/>
      <w:r>
        <w:t xml:space="preserve">Authors’ contributions</w:t>
      </w:r>
      <w:bookmarkEnd w:id="26"/>
    </w:p>
    <w:p>
      <w:pPr>
        <w:pStyle w:val="FirstParagraph"/>
      </w:pPr>
      <w:r>
        <w:t xml:space="preserve">XL and HH designed this study and interpreted the results. XL developed the</w:t>
      </w:r>
      <w:r>
        <w:t xml:space="preserve"> </w:t>
      </w:r>
      <w:r>
        <w:t xml:space="preserve">software, performed the validation and wrote the manuscript. Both authors take</w:t>
      </w:r>
      <w:r>
        <w:t xml:space="preserve"> </w:t>
      </w:r>
      <w:r>
        <w:t xml:space="preserve">responsibility for the content.</w:t>
      </w:r>
    </w:p>
    <w:p>
      <w:pPr>
        <w:pStyle w:val="Heading1"/>
      </w:pPr>
      <w:bookmarkStart w:id="27" w:name="_acknowledgements"/>
      <w:r>
        <w:t xml:space="preserve">Acknowledgements</w:t>
      </w:r>
      <w:bookmarkEnd w:id="27"/>
    </w:p>
    <w:p>
      <w:pPr>
        <w:pStyle w:val="FirstParagraph"/>
      </w:pPr>
      <w:r>
        <w:t xml:space="preserve">The authors thank the developers of the R packages and libraries on which</w:t>
      </w:r>
      <w:r>
        <w:t xml:space="preserve"> </w:t>
      </w:r>
      <w:r>
        <w:t xml:space="preserve">this work builds, and the users who provided feedback during development.</w:t>
      </w:r>
    </w:p>
    <w:p>
      <w:pPr>
        <w:pStyle w:val="Heading1"/>
      </w:pPr>
      <w:bookmarkStart w:id="28" w:name="_funding"/>
      <w:r>
        <w:t xml:space="preserve">Funding</w:t>
      </w:r>
      <w:bookmarkEnd w:id="28"/>
    </w:p>
    <w:p>
      <w:pPr>
        <w:pStyle w:val="FirstParagraph"/>
      </w:pPr>
      <w:r>
        <w:t xml:space="preserve">This work was supported by the National Key R&amp;D Program of China</w:t>
      </w:r>
      <w:r>
        <w:t xml:space="preserve"> </w:t>
      </w:r>
      <w:r>
        <w:t xml:space="preserve">(2021YFD1000200), the National Natural Science Foundation of China</w:t>
      </w:r>
      <w:r>
        <w:t xml:space="preserve"> </w:t>
      </w:r>
      <w:r>
        <w:t xml:space="preserve">(31801792, 31960554), and the Fok Ying Tung Education Foundation.</w:t>
      </w:r>
    </w:p>
    <w:p>
      <w:pPr>
        <w:pStyle w:val="Heading1"/>
      </w:pPr>
      <w:bookmarkStart w:id="29" w:name="_48d2f0e70be279cda6cc913f23aa2249fd7749d"/>
      <w:r>
        <w:t xml:space="preserve">Conflict of interest</w:t>
      </w:r>
      <w:bookmarkEnd w:id="29"/>
    </w:p>
    <w:p>
      <w:pPr>
        <w:pStyle w:val="FirstParagraph"/>
      </w:pPr>
      <w:r>
        <w:t xml:space="preserve">The authors declare no competing interests.</w:t>
      </w:r>
    </w:p>
    <w:p>
      <w:pPr>
        <w:pStyle w:val="Heading1"/>
      </w:pPr>
      <w:bookmarkStart w:id="30" w:name="_d6dc127f91df9bcc46c1702cd683a760cc63be4"/>
      <w:r>
        <w:t xml:space="preserve">Use of AI-assisted tools</w:t>
      </w:r>
      <w:bookmarkEnd w:id="30"/>
    </w:p>
    <w:p>
      <w:pPr>
        <w:pStyle w:val="FirstParagraph"/>
      </w:pPr>
      <w:r>
        <w:t xml:space="preserve">Generative AI tools were used during different stages of the work. Claude Code</w:t>
      </w:r>
      <w:r>
        <w:t xml:space="preserve"> </w:t>
      </w:r>
      <w:r>
        <w:t xml:space="preserve">(Anthropic) assisted with code development, testing, validation scripts and</w:t>
      </w:r>
      <w:r>
        <w:t xml:space="preserve"> </w:t>
      </w:r>
      <w:r>
        <w:t xml:space="preserve">early manuscript drafting between March and June 2026. OpenAI Codex assisted</w:t>
      </w:r>
      <w:r>
        <w:t xml:space="preserve"> </w:t>
      </w:r>
      <w:r>
        <w:t xml:space="preserve">with code refactoring, additional tests, documentation and manuscript</w:t>
      </w:r>
      <w:r>
        <w:t xml:space="preserve"> </w:t>
      </w:r>
      <w:r>
        <w:t xml:space="preserve">revision between August and October 2026. All AI-assisted changes were</w:t>
      </w:r>
      <w:r>
        <w:t xml:space="preserve"> </w:t>
      </w:r>
      <w:r>
        <w:t xml:space="preserve">reviewed by the authors, who ran the tests and analyses, checked the numerical</w:t>
      </w:r>
      <w:r>
        <w:t xml:space="preserve"> </w:t>
      </w:r>
      <w:r>
        <w:t xml:space="preserve">results and take responsibility for the content. The tools are not authors.</w:t>
      </w:r>
    </w:p>
    <w:bookmarkStart w:id="74" w:name="_refs"/>
    <w:bookmarkStart w:id="32" w:name="_218f95b65ba17029f8e987bbdaf95794b5c337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Bustin SA, Benes V, Garson JA, Hellemans J, Huggett J, Kubista M, et al.</w:t>
      </w:r>
      <w:r>
        <w:t xml:space="preserve"> </w:t>
      </w:r>
      <w:r>
        <w:t xml:space="preserve">The</w:t>
      </w:r>
      <w:r>
        <w:t xml:space="preserve"> </w:t>
      </w:r>
      <w:r>
        <w:t xml:space="preserve">MIQE</w:t>
      </w:r>
      <w:r>
        <w:t xml:space="preserve"> </w:t>
      </w:r>
      <w:r>
        <w:t xml:space="preserve">guidelines: Minimum information for publication of quantitative real-time</w:t>
      </w:r>
      <w:r>
        <w:t xml:space="preserve"> </w:t>
      </w:r>
      <w:r>
        <w:t xml:space="preserve">PCR</w:t>
      </w:r>
      <w:r>
        <w:t xml:space="preserve"> </w:t>
      </w:r>
      <w:r>
        <w:t xml:space="preserve">experiments. Clinical Chemistry. 2009;55(4):611–22. doi:</w:t>
      </w:r>
      <w:hyperlink r:id="rId31">
        <w:r>
          <w:rPr>
            <w:rStyle w:val="Hyperlink"/>
          </w:rPr>
          <w:t xml:space="preserve">10.1373/clinchem.2008.112797</w:t>
        </w:r>
      </w:hyperlink>
    </w:p>
    <w:bookmarkEnd w:id="32"/>
    <w:bookmarkStart w:id="34" w:name="_73872d19c84ab78b4dc4c3823a61f9a0778ff1e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Bustin SA, Ruijter JM, Hoff MJB van den, Kubista M, Pfaffl MW, Shipley GL, et al.</w:t>
      </w:r>
      <w:r>
        <w:t xml:space="preserve"> </w:t>
      </w:r>
      <w:r>
        <w:t xml:space="preserve">MIQE</w:t>
      </w:r>
      <w:r>
        <w:t xml:space="preserve"> </w:t>
      </w:r>
      <w:r>
        <w:t xml:space="preserve">2.0: Revision of the minimum information for publication of quantitative real-time</w:t>
      </w:r>
      <w:r>
        <w:t xml:space="preserve"> </w:t>
      </w:r>
      <w:r>
        <w:t xml:space="preserve">PCR</w:t>
      </w:r>
      <w:r>
        <w:t xml:space="preserve"> </w:t>
      </w:r>
      <w:r>
        <w:t xml:space="preserve">experiments guidelines. Clinical Chemistry. 2025;71(6):634–51. doi:</w:t>
      </w:r>
      <w:hyperlink r:id="rId33">
        <w:r>
          <w:rPr>
            <w:rStyle w:val="Hyperlink"/>
          </w:rPr>
          <w:t xml:space="preserve">10.1093/clinchem/hvaf043</w:t>
        </w:r>
      </w:hyperlink>
    </w:p>
    <w:bookmarkEnd w:id="34"/>
    <w:bookmarkStart w:id="36" w:name="_04c112a7af65b6f682004d20ac7f389b376eb3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Bustin SA, Beaulieu JF, Huggett J, Jaggi R, Kibenge FSB, Olsvik PA, et al.</w:t>
      </w:r>
      <w:r>
        <w:t xml:space="preserve"> </w:t>
      </w:r>
      <w:r>
        <w:t xml:space="preserve">MIQE</w:t>
      </w:r>
      <w:r>
        <w:t xml:space="preserve"> </w:t>
      </w:r>
      <w:r>
        <w:t xml:space="preserve">pr</w:t>
      </w:r>
      <w:r>
        <w:t xml:space="preserve">é</w:t>
      </w:r>
      <w:r>
        <w:t xml:space="preserve">cis: Practical implementation of minimum standard guidelines for fluorescence-based quantitative real-time</w:t>
      </w:r>
      <w:r>
        <w:t xml:space="preserve"> </w:t>
      </w:r>
      <w:r>
        <w:t xml:space="preserve">PCR</w:t>
      </w:r>
      <w:r>
        <w:t xml:space="preserve"> </w:t>
      </w:r>
      <w:r>
        <w:t xml:space="preserve">experiments. BMC Molecular Biology. 2010;11:74. doi:</w:t>
      </w:r>
      <w:hyperlink r:id="rId35">
        <w:r>
          <w:rPr>
            <w:rStyle w:val="Hyperlink"/>
          </w:rPr>
          <w:t xml:space="preserve">10.1186/1471-2199-11-74</w:t>
        </w:r>
      </w:hyperlink>
    </w:p>
    <w:bookmarkEnd w:id="36"/>
    <w:bookmarkStart w:id="38" w:name="_149cfa045426482ff6b11201847bc0be557ed3b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Livak KJ, Schmittgen TD. Analysis of relative gene expression data using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and the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rPr>
                <m:sty m:val="p"/>
              </m:rPr>
              <m:t>Δ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 </w:t>
      </w:r>
      <w:r>
        <w:t xml:space="preserve">method. Methods. 2001;25(4):402–8. doi:</w:t>
      </w:r>
      <w:hyperlink r:id="rId37">
        <w:r>
          <w:rPr>
            <w:rStyle w:val="Hyperlink"/>
          </w:rPr>
          <w:t xml:space="preserve">10.1006/meth.2001.1262</w:t>
        </w:r>
      </w:hyperlink>
    </w:p>
    <w:bookmarkEnd w:id="38"/>
    <w:bookmarkStart w:id="40" w:name="_b33bc9451bed6fc6e4187ca26bfe4d672f561b2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Pfaffl MW. A new mathematical model for relative quantification in real-time</w:t>
      </w:r>
      <w:r>
        <w:t xml:space="preserve"> </w:t>
      </w:r>
      <w:r>
        <w:t xml:space="preserve">RT-PCR</w:t>
      </w:r>
      <w:r>
        <w:t xml:space="preserve">. Nucleic Acids Research. 2001;29(9):e45. doi:</w:t>
      </w:r>
      <w:hyperlink r:id="rId39">
        <w:r>
          <w:rPr>
            <w:rStyle w:val="Hyperlink"/>
          </w:rPr>
          <w:t xml:space="preserve">10.1093/nar/29.9.e45</w:t>
        </w:r>
      </w:hyperlink>
    </w:p>
    <w:bookmarkEnd w:id="40"/>
    <w:bookmarkStart w:id="42" w:name="_7546802b984e0d4f908b64949e9da88d9c75eff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Li X, Wang Y, Li J, Mei X, Liu Y, Huang H.</w:t>
      </w:r>
      <w:r>
        <w:t xml:space="preserve"> </w:t>
      </w:r>
      <w:r>
        <w:t xml:space="preserve">qPCRtools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</w:t>
      </w:r>
      <w:r>
        <w:t xml:space="preserve"> </w:t>
      </w:r>
      <w:r>
        <w:t xml:space="preserve">qPCR</w:t>
      </w:r>
      <w:r>
        <w:t xml:space="preserve"> </w:t>
      </w:r>
      <w:r>
        <w:t xml:space="preserve">data processing and visualization. Frontiers in Genetics. 2022;13:1002704. doi:</w:t>
      </w:r>
      <w:hyperlink r:id="rId41">
        <w:r>
          <w:rPr>
            <w:rStyle w:val="Hyperlink"/>
          </w:rPr>
          <w:t xml:space="preserve">10.3389/fgene.2022.1002704</w:t>
        </w:r>
      </w:hyperlink>
    </w:p>
    <w:bookmarkEnd w:id="42"/>
    <w:bookmarkStart w:id="44" w:name="_8620bda91d0e3c73c09afb06049bad84f667f5f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Ahmed M, Kim D-R.</w:t>
      </w:r>
      <w:r>
        <w:t xml:space="preserve"> </w:t>
      </w:r>
      <w:r>
        <w:t xml:space="preserve">pcr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 quality assessment, analysis and testing of</w:t>
      </w:r>
      <w:r>
        <w:t xml:space="preserve"> </w:t>
      </w:r>
      <w:r>
        <w:t xml:space="preserve">qPCR</w:t>
      </w:r>
      <w:r>
        <w:t xml:space="preserve"> </w:t>
      </w:r>
      <w:r>
        <w:t xml:space="preserve">data. PeerJ. 2018;6:e4473. doi:</w:t>
      </w:r>
      <w:hyperlink r:id="rId43">
        <w:r>
          <w:rPr>
            <w:rStyle w:val="Hyperlink"/>
          </w:rPr>
          <w:t xml:space="preserve">10.7717/peerj.4473</w:t>
        </w:r>
      </w:hyperlink>
    </w:p>
    <w:bookmarkEnd w:id="44"/>
    <w:bookmarkStart w:id="46" w:name="_b67fd09765f31fcc899cc75e442d4d9dbb15202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Pfaffl MW, Horgan GW, Dempfle L. Relative expression software tool (</w:t>
      </w:r>
      <w:r>
        <w:t xml:space="preserve">REST</w:t>
      </w:r>
      <w:r>
        <w:t xml:space="preserve">) for group-wise comparison and statistical analysis of relative expression results in real-time</w:t>
      </w:r>
      <w:r>
        <w:t xml:space="preserve"> </w:t>
      </w:r>
      <w:r>
        <w:t xml:space="preserve">PCR</w:t>
      </w:r>
      <w:r>
        <w:t xml:space="preserve">. Nucleic Acids Research. 2002;30(9):e36. doi:</w:t>
      </w:r>
      <w:hyperlink r:id="rId45">
        <w:r>
          <w:rPr>
            <w:rStyle w:val="Hyperlink"/>
          </w:rPr>
          <w:t xml:space="preserve">10.1093/nar/30.9.e36</w:t>
        </w:r>
      </w:hyperlink>
    </w:p>
    <w:bookmarkEnd w:id="46"/>
    <w:bookmarkStart w:id="48" w:name="_1caa0388a8a35b84f7b4a3e61f405944fe78ae0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Ramakers C, Ruijter JM, Deprez RHL, Moorman AFM. Assumption-free analysis of quantitative real-time polymerase chain reaction (</w:t>
      </w:r>
      <w:r>
        <w:t xml:space="preserve">PCR</w:t>
      </w:r>
      <w:r>
        <w:t xml:space="preserve">) data. Neuroscience Letters. 2003;339(1):62–6. doi:</w:t>
      </w:r>
      <w:hyperlink r:id="rId47">
        <w:r>
          <w:rPr>
            <w:rStyle w:val="Hyperlink"/>
          </w:rPr>
          <w:t xml:space="preserve">10.1016/S0304-3940(02)01423-4</w:t>
        </w:r>
      </w:hyperlink>
    </w:p>
    <w:bookmarkEnd w:id="48"/>
    <w:bookmarkStart w:id="50" w:name="_8355b2e895158c73d0ecb0abf1932dd31312b1a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Ruijter JM, Ramakers C, Hoogaars WMH, Karlen Y, Bakker O, Hoff MJB van den, et al. Amplification efficiency: Linking baseline and bias in the analysis of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data. Nucleic Acids Research. 2009;37(6):e45. doi:</w:t>
      </w:r>
      <w:hyperlink r:id="rId49">
        <w:r>
          <w:rPr>
            <w:rStyle w:val="Hyperlink"/>
          </w:rPr>
          <w:t xml:space="preserve">10.1093/nar/gkp045</w:t>
        </w:r>
      </w:hyperlink>
    </w:p>
    <w:bookmarkEnd w:id="50"/>
    <w:bookmarkStart w:id="52" w:name="_00804f4081d8c9f9701b4913328c2cf714c62f6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Hellemans J, Mortier G, De Paepe A, Speleman F, Vandesompele J.</w:t>
      </w:r>
      <w:r>
        <w:t xml:space="preserve"> </w:t>
      </w:r>
      <w:r>
        <w:t xml:space="preserve">qBase</w:t>
      </w:r>
      <w:r>
        <w:t xml:space="preserve"> </w:t>
      </w:r>
      <w:r>
        <w:t xml:space="preserve">relative quantification framework and software for management and automated analysis of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data. Genome Biology. 2007;8(2):R19. doi:</w:t>
      </w:r>
      <w:hyperlink r:id="rId51">
        <w:r>
          <w:rPr>
            <w:rStyle w:val="Hyperlink"/>
          </w:rPr>
          <w:t xml:space="preserve">10.1186/gb-2007-8-2-r19</w:t>
        </w:r>
      </w:hyperlink>
    </w:p>
    <w:bookmarkEnd w:id="52"/>
    <w:bookmarkStart w:id="54" w:name="_fd0481c33d70e5c91909ac7d868cf575691620d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Vandesompele J, De Preter K, Pattyn F, Poppe B, Van Roy N, De Paepe A, et al. Accurate normalization of real-time quantitative</w:t>
      </w:r>
      <w:r>
        <w:t xml:space="preserve"> </w:t>
      </w:r>
      <w:r>
        <w:t xml:space="preserve">RT-PCR</w:t>
      </w:r>
      <w:r>
        <w:t xml:space="preserve"> </w:t>
      </w:r>
      <w:r>
        <w:t xml:space="preserve">data by geometric averaging of multiple internal control genes. Genome Biology. 2002;3(7):research0034. doi:</w:t>
      </w:r>
      <w:hyperlink r:id="rId53">
        <w:r>
          <w:rPr>
            <w:rStyle w:val="Hyperlink"/>
          </w:rPr>
          <w:t xml:space="preserve">10.1186/gb-2002-3-7-research0034</w:t>
        </w:r>
      </w:hyperlink>
    </w:p>
    <w:bookmarkEnd w:id="54"/>
    <w:bookmarkStart w:id="56" w:name="_edc260bb80258b9aad72d4c0a01d0e1e65a9493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Rancurel C, Van Tran T, Elie C, Hilliou F.</w:t>
      </w:r>
      <w:r>
        <w:t xml:space="preserve"> </w:t>
      </w:r>
      <w:r>
        <w:t xml:space="preserve">SATQPCR</w:t>
      </w:r>
      <w:r>
        <w:t xml:space="preserve">: Website for statistical analysis of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data. Molecular and Cellular Probes. 2019;46:101418. doi:</w:t>
      </w:r>
      <w:hyperlink r:id="rId55">
        <w:r>
          <w:rPr>
            <w:rStyle w:val="Hyperlink"/>
          </w:rPr>
          <w:t xml:space="preserve">10.1016/j.mcp.2019.07.001</w:t>
        </w:r>
      </w:hyperlink>
    </w:p>
    <w:bookmarkEnd w:id="56"/>
    <w:bookmarkStart w:id="58" w:name="_bc24874a811a3254baec355665c27420d9a7b9b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Ballester M, Cordón R, Folch JM.</w:t>
      </w:r>
      <w:r>
        <w:t xml:space="preserve"> </w:t>
      </w:r>
      <w:r>
        <w:t xml:space="preserve">DAG</w:t>
      </w:r>
      <w:r>
        <w:t xml:space="preserve"> </w:t>
      </w:r>
      <w:r>
        <w:t xml:space="preserve">Expression</w:t>
      </w:r>
      <w:r>
        <w:t xml:space="preserve">: High-throughput gene expression analysis of real-time</w:t>
      </w:r>
      <w:r>
        <w:t xml:space="preserve"> </w:t>
      </w:r>
      <w:r>
        <w:t xml:space="preserve">PCR</w:t>
      </w:r>
      <w:r>
        <w:t xml:space="preserve"> </w:t>
      </w:r>
      <w:r>
        <w:t xml:space="preserve">data using standard curves for relative quantification. PLoS ONE. 2013;8(11):e80385. doi:</w:t>
      </w:r>
      <w:hyperlink r:id="rId57">
        <w:r>
          <w:rPr>
            <w:rStyle w:val="Hyperlink"/>
          </w:rPr>
          <w:t xml:space="preserve">10.1371/journal.pone.0080385</w:t>
        </w:r>
      </w:hyperlink>
    </w:p>
    <w:bookmarkEnd w:id="58"/>
    <w:bookmarkStart w:id="60" w:name="_e07ad5c6ba64608802c4154d273ea707533576c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Maussion G, Thomas RA, Demirova I, Gu G, Cai E, Chen CX-Q, et al.</w:t>
      </w:r>
      <w:r>
        <w:t xml:space="preserve"> </w:t>
      </w:r>
      <w:r>
        <w:t xml:space="preserve">Auto-qPCR</w:t>
      </w:r>
      <w:r>
        <w:t xml:space="preserve">; a</w:t>
      </w:r>
      <w:r>
        <w:t xml:space="preserve"> </w:t>
      </w:r>
      <w:r>
        <w:t xml:space="preserve">Python</w:t>
      </w:r>
      <w:r>
        <w:t xml:space="preserve">-based web app for automated and reproducible analysis of</w:t>
      </w:r>
      <w:r>
        <w:t xml:space="preserve"> </w:t>
      </w:r>
      <w:r>
        <w:t xml:space="preserve">qPCR</w:t>
      </w:r>
      <w:r>
        <w:t xml:space="preserve"> </w:t>
      </w:r>
      <w:r>
        <w:t xml:space="preserve">data. Scientific Reports. 2021;11:21293. doi:</w:t>
      </w:r>
      <w:hyperlink r:id="rId59">
        <w:r>
          <w:rPr>
            <w:rStyle w:val="Hyperlink"/>
          </w:rPr>
          <w:t xml:space="preserve">10.1038/s41598-021-99727-6</w:t>
        </w:r>
      </w:hyperlink>
    </w:p>
    <w:bookmarkEnd w:id="60"/>
    <w:bookmarkStart w:id="62" w:name="_f3966a53b378c0811a0329d01885420bbbbc92e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Pabinger S, Rödiger S, Kriegner A, Vierlinger K, Weinhäusel A. A survey of tools for the analysis of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(</w:t>
      </w:r>
      <w:r>
        <w:t xml:space="preserve">qPCR</w:t>
      </w:r>
      <w:r>
        <w:t xml:space="preserve">) data. Biomolecular Detection and Quantification. 2014;1:23–33. doi:</w:t>
      </w:r>
      <w:hyperlink r:id="rId61">
        <w:r>
          <w:rPr>
            <w:rStyle w:val="Hyperlink"/>
          </w:rPr>
          <w:t xml:space="preserve">10.1016/j.bdq.2014.08.002</w:t>
        </w:r>
      </w:hyperlink>
    </w:p>
    <w:bookmarkEnd w:id="62"/>
    <w:bookmarkStart w:id="64" w:name="_18bc4f83ff84a4bc12b8238757a188830dd750c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Ritz C, Spiess AN.</w:t>
      </w:r>
      <w:r>
        <w:t xml:space="preserve"> </w:t>
      </w:r>
      <w:r>
        <w:t xml:space="preserve">qpcR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 sigmoidal model selection in quantitative real-time polymerase chain reaction analysis. Bioinformatics. 2008;24(13):1549–51. doi:</w:t>
      </w:r>
      <w:hyperlink r:id="rId63">
        <w:r>
          <w:rPr>
            <w:rStyle w:val="Hyperlink"/>
          </w:rPr>
          <w:t xml:space="preserve">10.1093/bioinformatics/btn227</w:t>
        </w:r>
      </w:hyperlink>
    </w:p>
    <w:bookmarkEnd w:id="64"/>
    <w:bookmarkStart w:id="66" w:name="_e936b2aae4de679a0b7dd3d7d36bfe53ded5ca3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Perkins JR, Dawes JM, McMahon SB, Bennett DLH, Orengo C, Kohl M.</w:t>
      </w:r>
      <w:r>
        <w:t xml:space="preserve"> </w:t>
      </w:r>
      <w:r>
        <w:t xml:space="preserve">ReadqPCR</w:t>
      </w:r>
      <w:r>
        <w:t xml:space="preserve"> </w:t>
      </w:r>
      <w:r>
        <w:t xml:space="preserve">and</w:t>
      </w:r>
      <w:r>
        <w:t xml:space="preserve"> </w:t>
      </w:r>
      <w:r>
        <w:t xml:space="preserve">NormqPCR</w:t>
      </w:r>
      <w:r>
        <w:t xml:space="preserve">:</w:t>
      </w:r>
      <w:r>
        <w:t xml:space="preserve"> </w:t>
      </w:r>
      <w:r>
        <w:t xml:space="preserve">R</w:t>
      </w:r>
      <w:r>
        <w:t xml:space="preserve"> </w:t>
      </w:r>
      <w:r>
        <w:t xml:space="preserve">packages for the reading, quality checking and normalisation of</w:t>
      </w:r>
      <w:r>
        <w:t xml:space="preserve"> </w:t>
      </w:r>
      <w:r>
        <w:t xml:space="preserve">RT-qPCR</w:t>
      </w:r>
      <w:r>
        <w:t xml:space="preserve"> </w:t>
      </w:r>
      <w:r>
        <w:t xml:space="preserve">quantification cycle (</w:t>
      </w:r>
      <w:r>
        <w:t xml:space="preserve">Cq</w:t>
      </w:r>
      <w:r>
        <w:t xml:space="preserve">) data. BMC Genomics. 2012;13:296. doi:</w:t>
      </w:r>
      <w:hyperlink r:id="rId65">
        <w:r>
          <w:rPr>
            <w:rStyle w:val="Hyperlink"/>
          </w:rPr>
          <w:t xml:space="preserve">10.1186/1471-2164-13-296</w:t>
        </w:r>
      </w:hyperlink>
    </w:p>
    <w:bookmarkEnd w:id="66"/>
    <w:bookmarkStart w:id="69" w:name="_b93936e158cebd91a42f164ac5ecd789fdddc70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Le Pape S.</w:t>
      </w:r>
      <w:r>
        <w:t xml:space="preserve"> </w:t>
      </w:r>
      <w:r>
        <w:t xml:space="preserve">EasyqpcR</w:t>
      </w:r>
      <w:r>
        <w:t xml:space="preserve">: For low-throughput real-time quantitative</w:t>
      </w:r>
      <w:r>
        <w:t xml:space="preserve"> </w:t>
      </w:r>
      <w:r>
        <w:t xml:space="preserve">PCR</w:t>
      </w:r>
      <w:r>
        <w:t xml:space="preserve"> </w:t>
      </w:r>
      <w:r>
        <w:t xml:space="preserve">data analysis [Internet]. Bioconductor package; 2017. Available from:</w:t>
      </w:r>
      <w:r>
        <w:t xml:space="preserve"> </w:t>
      </w:r>
      <w:hyperlink r:id="rId67">
        <w:r>
          <w:rPr>
            <w:rStyle w:val="Hyperlink"/>
          </w:rPr>
          <w:t xml:space="preserve">https://bioconductor.org/packages/3.12/bioc/html/EasyqpcR.html</w:t>
        </w:r>
      </w:hyperlink>
      <w:r>
        <w:t xml:space="preserve"> </w:t>
      </w:r>
      <w:r>
        <w:t xml:space="preserve">doi:</w:t>
      </w:r>
      <w:hyperlink r:id="rId68">
        <w:r>
          <w:rPr>
            <w:rStyle w:val="Hyperlink"/>
          </w:rPr>
          <w:t xml:space="preserve">10.18129/B9.bioc.EasyqpcR</w:t>
        </w:r>
      </w:hyperlink>
    </w:p>
    <w:bookmarkEnd w:id="69"/>
    <w:bookmarkStart w:id="71" w:name="_ff60a9b08c80ac3fb85a4e8c9aaa34f06904adb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The Qt Company.</w:t>
      </w:r>
      <w:r>
        <w:t xml:space="preserve"> </w:t>
      </w:r>
      <w:r>
        <w:t xml:space="preserve">Qt</w:t>
      </w:r>
      <w:r>
        <w:t xml:space="preserve"> </w:t>
      </w:r>
      <w:r>
        <w:t xml:space="preserve">Cross-Platform</w:t>
      </w:r>
      <w:r>
        <w:t xml:space="preserve"> </w:t>
      </w:r>
      <w:r>
        <w:t xml:space="preserve">Application</w:t>
      </w:r>
      <w:r>
        <w:t xml:space="preserve"> </w:t>
      </w:r>
      <w:r>
        <w:t xml:space="preserve">Development</w:t>
      </w:r>
      <w:r>
        <w:t xml:space="preserve"> </w:t>
      </w:r>
      <w:r>
        <w:t xml:space="preserve">Framework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https://www.qt.io/</w:t>
        </w:r>
      </w:hyperlink>
      <w:r>
        <w:t xml:space="preserve">; 2024.</w:t>
      </w:r>
    </w:p>
    <w:bookmarkEnd w:id="71"/>
    <w:bookmarkStart w:id="73" w:name="_fb887e1c0c145b6139ec39b5e62eaf0d9978e58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Apache Software Foundation.</w:t>
      </w:r>
      <w:r>
        <w:t xml:space="preserve"> </w:t>
      </w:r>
      <w:r>
        <w:t xml:space="preserve">Apache ECharts</w:t>
      </w:r>
      <w:r>
        <w:t xml:space="preserve">: A declarative framework for rapid construction of web-based visualization.</w:t>
      </w:r>
      <w:r>
        <w:t xml:space="preserve"> </w:t>
      </w:r>
      <w:hyperlink r:id="rId72">
        <w:r>
          <w:rPr>
            <w:rStyle w:val="Hyperlink"/>
          </w:rPr>
          <w:t xml:space="preserve">https://echarts.apache.org/</w:t>
        </w:r>
      </w:hyperlink>
      <w:r>
        <w:t xml:space="preserve">; 2024.</w:t>
      </w:r>
    </w:p>
    <w:bookmarkEnd w:id="73"/>
    <w:bookmarkEnd w:id="74"/>
    <w:sectPr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  <w:jc w:val="both"/>
    </w:pPr>
    <w:rPr>
      <w:rFonts w:ascii="Arial" w:hAnsi="Arial" w:eastAsia="Arial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Arial" w:hAnsi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67" Type="http://schemas.openxmlformats.org/officeDocument/2006/relationships/hyperlink" Target="https://bioconductor.org/packages/3.12/bioc/html/EasyqpcR.html" TargetMode="External"/><Relationship Id="rId37" Type="http://schemas.openxmlformats.org/officeDocument/2006/relationships/hyperlink" Target="https://doi.org/10.1006/meth.2001.1262" TargetMode="External"/><Relationship Id="rId47" Type="http://schemas.openxmlformats.org/officeDocument/2006/relationships/hyperlink" Target="https://doi.org/10.1016/S0304-3940(02)01423-4" TargetMode="External"/><Relationship Id="rId61" Type="http://schemas.openxmlformats.org/officeDocument/2006/relationships/hyperlink" Target="https://doi.org/10.1016/j.bdq.2014.08.002" TargetMode="External"/><Relationship Id="rId55" Type="http://schemas.openxmlformats.org/officeDocument/2006/relationships/hyperlink" Target="https://doi.org/10.1016/j.mcp.2019.07.001" TargetMode="External"/><Relationship Id="rId59" Type="http://schemas.openxmlformats.org/officeDocument/2006/relationships/hyperlink" Target="https://doi.org/10.1038/s41598-021-99727-6" TargetMode="External"/><Relationship Id="rId63" Type="http://schemas.openxmlformats.org/officeDocument/2006/relationships/hyperlink" Target="https://doi.org/10.1093/bioinformatics/btn227" TargetMode="External"/><Relationship Id="rId33" Type="http://schemas.openxmlformats.org/officeDocument/2006/relationships/hyperlink" Target="https://doi.org/10.1093/clinchem/hvaf043" TargetMode="External"/><Relationship Id="rId39" Type="http://schemas.openxmlformats.org/officeDocument/2006/relationships/hyperlink" Target="https://doi.org/10.1093/nar/29.9.e45" TargetMode="External"/><Relationship Id="rId45" Type="http://schemas.openxmlformats.org/officeDocument/2006/relationships/hyperlink" Target="https://doi.org/10.1093/nar/30.9.e36" TargetMode="External"/><Relationship Id="rId49" Type="http://schemas.openxmlformats.org/officeDocument/2006/relationships/hyperlink" Target="https://doi.org/10.1093/nar/gkp045" TargetMode="External"/><Relationship Id="rId65" Type="http://schemas.openxmlformats.org/officeDocument/2006/relationships/hyperlink" Target="https://doi.org/10.1186/1471-2164-13-296" TargetMode="External"/><Relationship Id="rId35" Type="http://schemas.openxmlformats.org/officeDocument/2006/relationships/hyperlink" Target="https://doi.org/10.1186/1471-2199-11-74" TargetMode="External"/><Relationship Id="rId53" Type="http://schemas.openxmlformats.org/officeDocument/2006/relationships/hyperlink" Target="https://doi.org/10.1186/gb-2002-3-7-research0034" TargetMode="External"/><Relationship Id="rId51" Type="http://schemas.openxmlformats.org/officeDocument/2006/relationships/hyperlink" Target="https://doi.org/10.1186/gb-2007-8-2-r19" TargetMode="External"/><Relationship Id="rId57" Type="http://schemas.openxmlformats.org/officeDocument/2006/relationships/hyperlink" Target="https://doi.org/10.1371/journal.pone.0080385" TargetMode="External"/><Relationship Id="rId31" Type="http://schemas.openxmlformats.org/officeDocument/2006/relationships/hyperlink" Target="https://doi.org/10.1373/clinchem.2008.112797" TargetMode="External"/><Relationship Id="rId68" Type="http://schemas.openxmlformats.org/officeDocument/2006/relationships/hyperlink" Target="https://doi.org/10.18129/B9.bioc.EasyqpcR" TargetMode="External"/><Relationship Id="rId41" Type="http://schemas.openxmlformats.org/officeDocument/2006/relationships/hyperlink" Target="https://doi.org/10.3389/fgene.2022.1002704" TargetMode="External"/><Relationship Id="rId43" Type="http://schemas.openxmlformats.org/officeDocument/2006/relationships/hyperlink" Target="https://doi.org/10.7717/peerj.4473" TargetMode="External"/><Relationship Id="rId72" Type="http://schemas.openxmlformats.org/officeDocument/2006/relationships/hyperlink" Target="https://echarts.apache.org/" TargetMode="External"/><Relationship Id="rId9" Type="http://schemas.openxmlformats.org/officeDocument/2006/relationships/hyperlink" Target="https://github.com/lixiang117423/qPCRtools_cpp" TargetMode="External"/><Relationship Id="rId70" Type="http://schemas.openxmlformats.org/officeDocument/2006/relationships/hyperlink" Target="https://www.qt.io/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bioconductor.org/packages/3.12/bioc/html/EasyqpcR.html" TargetMode="External"/><Relationship Id="rId37" Type="http://schemas.openxmlformats.org/officeDocument/2006/relationships/hyperlink" Target="https://doi.org/10.1006/meth.2001.1262" TargetMode="External"/><Relationship Id="rId47" Type="http://schemas.openxmlformats.org/officeDocument/2006/relationships/hyperlink" Target="https://doi.org/10.1016/S0304-3940(02)01423-4" TargetMode="External"/><Relationship Id="rId61" Type="http://schemas.openxmlformats.org/officeDocument/2006/relationships/hyperlink" Target="https://doi.org/10.1016/j.bdq.2014.08.002" TargetMode="External"/><Relationship Id="rId55" Type="http://schemas.openxmlformats.org/officeDocument/2006/relationships/hyperlink" Target="https://doi.org/10.1016/j.mcp.2019.07.001" TargetMode="External"/><Relationship Id="rId59" Type="http://schemas.openxmlformats.org/officeDocument/2006/relationships/hyperlink" Target="https://doi.org/10.1038/s41598-021-99727-6" TargetMode="External"/><Relationship Id="rId63" Type="http://schemas.openxmlformats.org/officeDocument/2006/relationships/hyperlink" Target="https://doi.org/10.1093/bioinformatics/btn227" TargetMode="External"/><Relationship Id="rId33" Type="http://schemas.openxmlformats.org/officeDocument/2006/relationships/hyperlink" Target="https://doi.org/10.1093/clinchem/hvaf043" TargetMode="External"/><Relationship Id="rId39" Type="http://schemas.openxmlformats.org/officeDocument/2006/relationships/hyperlink" Target="https://doi.org/10.1093/nar/29.9.e45" TargetMode="External"/><Relationship Id="rId45" Type="http://schemas.openxmlformats.org/officeDocument/2006/relationships/hyperlink" Target="https://doi.org/10.1093/nar/30.9.e36" TargetMode="External"/><Relationship Id="rId49" Type="http://schemas.openxmlformats.org/officeDocument/2006/relationships/hyperlink" Target="https://doi.org/10.1093/nar/gkp045" TargetMode="External"/><Relationship Id="rId65" Type="http://schemas.openxmlformats.org/officeDocument/2006/relationships/hyperlink" Target="https://doi.org/10.1186/1471-2164-13-296" TargetMode="External"/><Relationship Id="rId35" Type="http://schemas.openxmlformats.org/officeDocument/2006/relationships/hyperlink" Target="https://doi.org/10.1186/1471-2199-11-74" TargetMode="External"/><Relationship Id="rId53" Type="http://schemas.openxmlformats.org/officeDocument/2006/relationships/hyperlink" Target="https://doi.org/10.1186/gb-2002-3-7-research0034" TargetMode="External"/><Relationship Id="rId51" Type="http://schemas.openxmlformats.org/officeDocument/2006/relationships/hyperlink" Target="https://doi.org/10.1186/gb-2007-8-2-r19" TargetMode="External"/><Relationship Id="rId57" Type="http://schemas.openxmlformats.org/officeDocument/2006/relationships/hyperlink" Target="https://doi.org/10.1371/journal.pone.0080385" TargetMode="External"/><Relationship Id="rId31" Type="http://schemas.openxmlformats.org/officeDocument/2006/relationships/hyperlink" Target="https://doi.org/10.1373/clinchem.2008.112797" TargetMode="External"/><Relationship Id="rId68" Type="http://schemas.openxmlformats.org/officeDocument/2006/relationships/hyperlink" Target="https://doi.org/10.18129/B9.bioc.EasyqpcR" TargetMode="External"/><Relationship Id="rId41" Type="http://schemas.openxmlformats.org/officeDocument/2006/relationships/hyperlink" Target="https://doi.org/10.3389/fgene.2022.1002704" TargetMode="External"/><Relationship Id="rId43" Type="http://schemas.openxmlformats.org/officeDocument/2006/relationships/hyperlink" Target="https://doi.org/10.7717/peerj.4473" TargetMode="External"/><Relationship Id="rId72" Type="http://schemas.openxmlformats.org/officeDocument/2006/relationships/hyperlink" Target="https://echarts.apache.org/" TargetMode="External"/><Relationship Id="rId9" Type="http://schemas.openxmlformats.org/officeDocument/2006/relationships/hyperlink" Target="https://github.com/lixiang117423/qPCRtools_cpp" TargetMode="External"/><Relationship Id="rId70" Type="http://schemas.openxmlformats.org/officeDocument/2006/relationships/hyperlink" Target="https://www.q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qPCRtools: a cross-platform desktop application for reproducible qPCR analysis without programming</dc:title>
  <dc:creator>Xiang Li; Huichuan Huang</dc:creator>
  <cp:keywords/>
  <dcterms:created xsi:type="dcterms:W3CDTF">2026-10-29T05:48:04Z</dcterms:created>
  <dcterms:modified xsi:type="dcterms:W3CDTF">2026-10-29T05:48:04Z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Summary: Quantitative real-time PCR (qPCR) is a standard technique for measuring gene expression, yet turning instrument-exported C_q values into publication-ready results requires several non-trivial steps: estimating amplification efficiency, choosing a quantification method, testing groups statistically, and preparing figures. Established tools for this chain are predominantly programming-based—including our own R package qPCRtools—and remain out of reach for students and wet-lab researchers without programming experience, whereas instrument software, free stand-alone programs and web applications each cover only part of the workflow or tie the analysis to one platform. We present qPCRtools, a cross-platform desktop application written in C++17 with Qt6 that exposes the analytical core of the R package through a point-and-click interface and ships as a single executable requiring no R, Python or other runtime. It implements standard-curve construction and efficiency estimation, the \Delta C_t, \Delta\Delta C_t and efficiency-based (RqPCR) quantification methods, group comparison by Welch t-test, Wilcoxon rank-sum test or one-way ANOVA with Tukey HSD letters, quality-control warnings, in-interface figures, and a plain-text record of the inputs and parameters of each analysis. The implementation was validated against an independent base-R reference for every quantification method. Preparing the port also revealed and corrected several defects in result aggregation, each covered by a regression test.Availability and Implementation: qPCRtools is written in C++17 with Qt6 and built with CMake; the core algorithm library requires only Qt Core and optionally links Eigen3, GSL and OpenXLSX. The source code is available under the MIT license at https://github.com/lixiang117423/qPCRtools_cpp, with pre-built binaries for version 1.3.0 in the repository releases; no registration is required. Linux build instructions are provided, but no Linux binary is released. The software and its source will remain available for at least two years.Contact: lixiang117423@gmail.com; absklhhc@gmail.comSupplementary Information: Supplementary Figures S1–S2 give the full analysis output and the validation comparison; Supplementary Tables S1–S3 summarise numerical agreement, the sensitivity of the group comparison to the analysis scale and a reproducible re-analysis of published qPCR data.</vt:lpwstr>
  </property>
  <property fmtid="{D5CDD505-2E9C-101B-9397-08002B2CF9AE}" pid="3" name="bibliography">
    <vt:lpwstr/>
  </property>
  <property fmtid="{D5CDD505-2E9C-101B-9397-08002B2CF9AE}" pid="4" name="csl">
    <vt:lpwstr>/Users/lixiang/Zotero/styles/nlm-citation-sequence.csl</vt:lpwstr>
  </property>
  <property fmtid="{D5CDD505-2E9C-101B-9397-08002B2CF9AE}" pid="5" name="date">
    <vt:lpwstr/>
  </property>
</Properties>
</file>