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spacing w:before="0" w:after="160"/>
        <w:jc w:val="center"/>
      </w:pPr>
      <w:r>
        <w:rPr>
          <w:rFonts w:ascii="Arial" w:hAnsi="Arial"/>
          <w:b/>
          <w:sz w:val="30"/>
        </w:rPr>
        <w:t>Supplementary material</w:t>
        <w:br/>
      </w:r>
      <w:r>
        <w:rPr>
          <w:rFonts w:ascii="Arial" w:hAnsi="Arial"/>
          <w:i/>
          <w:sz w:val="23"/>
        </w:rPr>
        <w:t>qPCRtools: a cross-platform desktop application for reproducible qPCR analysis without programming</w:t>
      </w:r>
    </w:p>
    <w:p>
      <w:pPr>
        <w:pStyle w:val="Author"/>
        <w:keepNext w:val="0"/>
        <w:spacing w:line="240" w:lineRule="auto" w:after="240"/>
        <w:jc w:val="center"/>
      </w:pPr>
      <w:r>
        <w:rPr>
          <w:rFonts w:ascii="Arial" w:hAnsi="Arial"/>
          <w:sz w:val="22"/>
        </w:rPr>
        <w:t>Xiang Li</w:t>
      </w:r>
      <w:r>
        <w:rPr>
          <w:rFonts w:ascii="Arial" w:hAnsi="Arial"/>
          <w:sz w:val="22"/>
          <w:vertAlign w:val="superscript"/>
        </w:rPr>
        <w:t>1,2,*</w:t>
      </w:r>
      <w:r>
        <w:rPr>
          <w:rFonts w:ascii="Arial" w:hAnsi="Arial"/>
          <w:sz w:val="22"/>
        </w:rPr>
        <w:t xml:space="preserve">    </w:t>
      </w:r>
      <w:r>
        <w:rPr>
          <w:rFonts w:ascii="Arial" w:hAnsi="Arial"/>
          <w:sz w:val="22"/>
        </w:rPr>
        <w:t>Huichuan Huang</w:t>
      </w:r>
      <w:r>
        <w:rPr>
          <w:rFonts w:ascii="Arial" w:hAnsi="Arial"/>
          <w:sz w:val="22"/>
          <w:vertAlign w:val="superscript"/>
        </w:rPr>
        <w:t>1,2,*</w:t>
      </w:r>
      <w:r>
        <w:br/>
      </w:r>
      <w:r>
        <w:rPr>
          <w:rFonts w:ascii="Arial" w:hAnsi="Arial"/>
          <w:sz w:val="19"/>
        </w:rPr>
        <w:t>1 State Key Laboratory for Conservation and Utilization of Bio-Resources in Yunnan, Yunnan Agricultural University, Kunming, China</w:t>
      </w:r>
      <w:r>
        <w:br/>
      </w:r>
      <w:r>
        <w:rPr>
          <w:rFonts w:ascii="Arial" w:hAnsi="Arial"/>
          <w:sz w:val="19"/>
        </w:rPr>
        <w:t>2 Key Laboratory for Agro-Biodiversity and Pest Control of Ministry of Education, Yunnan Agricultural University, Kunming, China</w:t>
      </w:r>
      <w:r>
        <w:br/>
      </w:r>
      <w:r>
        <w:rPr>
          <w:rFonts w:ascii="Arial" w:hAnsi="Arial"/>
          <w:sz w:val="19"/>
        </w:rPr>
        <w:t>* Corresponding authors: lixiang117423@gmail.com (X.L.), absklhhc@gmail.com (H.H.)</w:t>
      </w:r>
      <w:r>
        <w:br/>
      </w:r>
      <w:r>
        <w:rPr>
          <w:rFonts w:ascii="Arial" w:hAnsi="Arial"/>
          <w:sz w:val="19"/>
        </w:rPr>
        <w:t>Present address (X.L.): Yazhouwan National Laboratory, Sanya, Hainan, China</w:t>
      </w:r>
    </w:p>
    <w:p>
      <w:pPr>
        <w:pStyle w:val="Heading1"/>
      </w:pPr>
      <w:bookmarkStart w:id="9" w:name="_contents"/>
      <w:r>
        <w:t xml:space="preserve">Contents</w:t>
      </w:r>
      <w:bookmarkEnd w:id="9"/>
    </w:p>
    <w:p>
      <w:pPr>
        <w:pStyle w:val="FirstParagraph"/>
        <w:numPr>
          <w:ilvl w:val="0"/>
          <w:numId w:val="1001"/>
        </w:numPr>
      </w:pPr>
      <w:r>
        <w:t xml:space="preserve">Figure S1 — Analysis output on the bundled example data</w:t>
      </w:r>
      <w:r>
        <w:t xml:space="preserve"> </w:t>
      </w:r>
      <w:r>
        <w:t xml:space="preserve">(standard curves 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expression).</w:t>
      </w:r>
    </w:p>
    <w:p>
      <w:pPr>
        <w:pStyle w:val="FirstParagraph"/>
        <w:numPr>
          <w:ilvl w:val="0"/>
          <w:numId w:val="1001"/>
        </w:numPr>
      </w:pPr>
      <w:r>
        <w:t xml:space="preserve">Figure S2 — Agreement between the application and an independent</w:t>
      </w:r>
      <w:r>
        <w:t xml:space="preserve"> </w:t>
      </w:r>
      <w:r>
        <w:t xml:space="preserve">base-R reference.</w:t>
      </w:r>
    </w:p>
    <w:p>
      <w:pPr>
        <w:pStyle w:val="FirstParagraph"/>
        <w:numPr>
          <w:ilvl w:val="0"/>
          <w:numId w:val="1001"/>
        </w:numPr>
      </w:pPr>
      <w:r>
        <w:t xml:space="preserve">Table S1 — Numerical agreement summary across all methods.</w:t>
      </w:r>
      <w:r>
        <w:t xml:space="preserve"> </w:t>
      </w:r>
      <w:r>
        <w:t xml:space="preserve">Panel (a): expression and curve quantities.</w:t>
      </w:r>
      <w:r>
        <w:t xml:space="preserve"> </w:t>
      </w:r>
      <w:r>
        <w:t xml:space="preserve">Panel (b): raw and Holm-adjusted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values.</w:t>
      </w:r>
    </w:p>
    <w:p>
      <w:pPr>
        <w:pStyle w:val="FirstParagraph"/>
        <w:numPr>
          <w:ilvl w:val="0"/>
          <w:numId w:val="1001"/>
        </w:numPr>
      </w:pPr>
      <w:r>
        <w:t xml:space="preserve">Table S2 —</w:t>
      </w:r>
      <w:r>
        <w:t xml:space="preserve"> </w:t>
      </w:r>
      <m:oMath>
        <m:r>
          <m:t>P</m:t>
        </m:r>
      </m:oMath>
      <w:r>
        <w:t xml:space="preserve">-value sensitivity to the analysis scale.</w:t>
      </w:r>
    </w:p>
    <w:p>
      <w:pPr>
        <w:pStyle w:val="FirstParagraph"/>
        <w:numPr>
          <w:ilvl w:val="0"/>
          <w:numId w:val="1001"/>
        </w:numPr>
      </w:pPr>
      <w:r>
        <w:t xml:space="preserve">Table S3 — Reproducible re-analysis of the published qPCR examples.</w:t>
      </w:r>
    </w:p>
    <w:p>
      <w:pPr>
        <w:pStyle w:val="Heading1"/>
      </w:pPr>
      <w:bookmarkStart w:id="10" w:name="_73d66e39c23ef82c480f845890760b17cc77385"/>
      <w:r>
        <w:t xml:space="preserve">Analysis output on the bundled example data</w:t>
      </w:r>
      <w:bookmarkEnd w:id="10"/>
    </w:p>
    <w:p>
      <w:pPr>
        <w:pStyle w:val="FirstParagraph"/>
      </w:pPr>
      <w:r>
        <w:t xml:space="preserve">Figure S1 shows the two analyses discussed in the main text, produced from the</w:t>
      </w:r>
      <w:r>
        <w:t xml:space="preserve"> </w:t>
      </w:r>
      <w:r>
        <w:t xml:space="preserve">application’s numerical output by the plotting script shipped in the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code/validation/plot_examples.py</w:t>
      </w:r>
      <w:r>
        <w:t xml:space="preserve">, matplotlib), which</w:t>
      </w:r>
      <w:r>
        <w:t xml:space="preserve"> </w:t>
      </w:r>
      <w:r>
        <w:t xml:space="preserve">gives finer control over the layout than the in-interface figure export. The</w:t>
      </w:r>
      <w:r>
        <w:t xml:space="preserve"> </w:t>
      </w:r>
      <w:r>
        <w:t xml:space="preserve">per-group means, standard deviations and</w:t>
      </w:r>
      <w:r>
        <w:t xml:space="preserve"> </w:t>
      </w:r>
      <m:oMath>
        <m:r>
          <m:t>P</m:t>
        </m:r>
      </m:oMath>
      <w:r>
        <w:t xml:space="preserve">-values were independently</w:t>
      </w:r>
      <w:r>
        <w:t xml:space="preserve"> </w:t>
      </w:r>
      <w:r>
        <w:t xml:space="preserve">reproduced without the application or the R package by</w:t>
      </w:r>
      <w:r>
        <w:t xml:space="preserve"> </w:t>
      </w:r>
      <w:r>
        <w:rPr>
          <w:rStyle w:val="VerbatimChar"/>
        </w:rPr>
        <w:t xml:space="preserve">code/validation/</w:t>
      </w:r>
      <w:r>
        <w:t xml:space="preserve"> </w:t>
      </w:r>
      <w:r>
        <w:rPr>
          <w:rStyle w:val="VerbatimChar"/>
        </w:rPr>
        <w:t xml:space="preserve">check_example_stats.R</w:t>
      </w:r>
      <w:r>
        <w:t xml:space="preserve">.</w:t>
      </w:r>
    </w:p>
    <w:bookmarkStart w:id="14" w:name="_8c5bc61b19d2a142b6e908fd9582f86ab3af67d"/>
    <w:p>
      <w:pPr>
        <w:pStyle w:val="CaptionedFigure"/>
        <w:jc w:val="center"/>
      </w:pPr>
      <w:r>
        <w:drawing>
          <wp:inline>
            <wp:extent cx="5400000" cy="2541175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var/folders/t4/w5lxpw4j3lvfq7bs3f2x_wlr0000gn/T/tmpu8l2ezx4/fig2_results_v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4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rFonts w:ascii="Arial" w:hAnsi="Arial"/>
          <w:b/>
          <w:sz w:val="19"/>
        </w:rPr>
        <w:t xml:space="preserve">Figure S1. </w:t>
      </w:r>
      <w:r>
        <w:rPr>
          <w:sz w:val="19"/>
        </w:rPr>
        <w:t xml:space="preserve">Analysis output on real data.</w:t>
      </w:r>
      <w:r>
        <w:rPr>
          <w:sz w:val="19"/>
        </w:rPr>
        <w:t xml:space="preserve"> </w:t>
      </w:r>
      <w:r>
        <w:rPr>
          <w:sz w:val="19"/>
        </w:rPr>
        <w:t xml:space="preserve">(A) Standard curves for four genes over a four-fold dilution series, with</w:t>
      </w:r>
      <w:r>
        <w:rPr>
          <w:sz w:val="19"/>
        </w:rPr>
        <w:t xml:space="preserve"> </w:t>
      </w:r>
      <w:r>
        <w:rPr>
          <w:sz w:val="19"/>
        </w:rPr>
        <w:t xml:space="preserve">fitted regressions and</w:t>
      </w:r>
      <w:r>
        <w:rPr>
          <w:sz w:val="19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sz w:val="19"/>
        </w:rPr>
        <w:t xml:space="preserve">. The abscissa is</w:t>
      </w:r>
      <w:r>
        <w:rPr>
          <w:sz w:val="19"/>
        </w:rP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</m:oMath>
      <w:r>
        <w:rPr>
          <w:sz w:val="19"/>
        </w:rPr>
        <w:t xml:space="preserve"> </w:t>
      </w:r>
      <w:r>
        <w:rPr>
          <w:sz w:val="19"/>
        </w:rPr>
        <w:t xml:space="preserve">concentration</w:t>
      </w:r>
      <w:r>
        <w:rPr>
          <w:sz w:val="19"/>
        </w:rPr>
        <w:t xml:space="preserve"> </w:t>
      </w:r>
      <w:r>
        <w:rPr>
          <w:sz w:val="19"/>
        </w:rPr>
        <w:t xml:space="preserve">(dilution steps), matching the regression. Hollow symbols mark wells outside</w:t>
      </w:r>
      <w:r>
        <w:rPr>
          <w:sz w:val="19"/>
        </w:rPr>
        <w:t xml:space="preserve"> </w:t>
      </w:r>
      <w:r>
        <w:rPr>
          <w:sz w:val="19"/>
        </w:rPr>
        <w:t xml:space="preserve">the calibrated range (4–4096). Gene1 has</w:t>
      </w:r>
      <w:r>
        <w:rPr>
          <w:sz w:val="19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0.75</m:t>
        </m:r>
      </m:oMath>
      <w:r>
        <w:rPr>
          <w:sz w:val="19"/>
        </w:rPr>
        <w:t xml:space="preserve"> </w:t>
      </w:r>
      <w:r>
        <w:rPr>
          <w:sz w:val="19"/>
        </w:rPr>
        <w:t xml:space="preserve">and is unsuitable for</w:t>
      </w:r>
      <w:r>
        <w:rPr>
          <w:sz w:val="19"/>
        </w:rPr>
        <w:t xml:space="preserve"> </w:t>
      </w:r>
      <w:r>
        <w:rPr>
          <w:sz w:val="19"/>
        </w:rPr>
        <w:t xml:space="preserve">quantification; the other three have</w:t>
      </w:r>
      <w:r>
        <w:rPr>
          <w:sz w:val="19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0.99</m:t>
        </m:r>
      </m:oMath>
      <w:r>
        <w:rPr>
          <w:sz w:val="19"/>
        </w:rPr>
        <w:t xml:space="preserve">.</w:t>
      </w:r>
      <w:r>
        <w:rPr>
          <w:sz w:val="19"/>
        </w:rPr>
        <w:t xml:space="preserve"> </w:t>
      </w:r>
      <w:r>
        <w:rPr>
          <w:sz w:val="19"/>
        </w:rPr>
        <w:t xml:space="preserve">(B) Relative expression of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fos-glo-myc</w:t>
      </w:r>
      <w:r>
        <w:rPr>
          <w:sz w:val="19"/>
        </w:rPr>
        <w:t xml:space="preserve"> </w:t>
      </w:r>
      <w:r>
        <w:rPr>
          <w:sz w:val="19"/>
        </w:rPr>
        <w:t xml:space="preserve">across treatment groups</w:t>
      </w:r>
      <w:r>
        <w:rPr>
          <w:sz w:val="19"/>
        </w:rPr>
        <w:t xml:space="preserve"> </w:t>
      </w:r>
      <w:r>
        <w:rPr>
          <w:sz w:val="19"/>
        </w:rP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sz w:val="19"/>
        </w:rPr>
        <w:t xml:space="preserve"> </w:t>
      </w:r>
      <w:r>
        <w:rPr>
          <w:sz w:val="19"/>
        </w:rPr>
        <w:t xml:space="preserve">method, calibrated to the control group), with</w:t>
      </w:r>
      <w:r>
        <w:rPr>
          <w:sz w:val="19"/>
        </w:rPr>
        <w:t xml:space="preserve"> </w:t>
      </w:r>
      <w:r>
        <w:rPr>
          <w:sz w:val="19"/>
        </w:rPr>
        <w:t xml:space="preserve">Holm-adjusted significance labels and individual biological replicates.</w:t>
      </w:r>
      <w:r>
        <w:rPr>
          <w:sz w:val="19"/>
        </w:rPr>
        <w:t xml:space="preserve"> </w:t>
      </w:r>
      <w:r>
        <w:rPr>
          <w:sz w:val="19"/>
        </w:rPr>
        <w:t xml:space="preserve">Reproduced from</w:t>
      </w:r>
      <w:r>
        <w:rPr>
          <w:sz w:val="19"/>
        </w:rPr>
        <w:t xml:space="preserve"> </w:t>
      </w:r>
      <w:r>
        <w:rPr>
          <w:rStyle w:val="VerbatimChar"/>
          <w:sz w:val="19"/>
        </w:rPr>
        <w:t xml:space="preserve">figures/fig2_results_v2.pdf</w:t>
      </w:r>
      <w:r>
        <w:rPr>
          <w:sz w:val="19"/>
        </w:rPr>
        <w:t xml:space="preserve">.</w:t>
      </w:r>
    </w:p>
    <w:bookmarkEnd w:id="14"/>
    <w:p>
      <w:pPr>
        <w:pStyle w:val="Heading1"/>
      </w:pPr>
      <w:bookmarkStart w:id="15" w:name="_a6e916cfa9acbac8fdc792f1d6f1378fe7fb3f0"/>
      <w:r>
        <w:t xml:space="preserve">Reproducible re-analysis of published qPCR data</w:t>
      </w:r>
      <w:bookmarkEnd w:id="15"/>
    </w:p>
    <w:p>
      <w:pPr>
        <w:pStyle w:val="FirstParagraph"/>
      </w:pPr>
      <w:r>
        <w:t xml:space="preserve">The two real example plates distributed with the 2022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paper were processed independently in the graphical interface. The</w:t>
      </w:r>
      <w:r>
        <w:t xml:space="preserve"> </w:t>
      </w:r>
      <w:r>
        <w:t xml:space="preserve">four-gene dilution series was used to demonstrate curve fitting and</w:t>
      </w:r>
      <w:r>
        <w:t xml:space="preserve"> </w:t>
      </w:r>
      <w:r>
        <w:t xml:space="preserve">quality-control rejection. The separate treatment plate contains six genes,</w:t>
      </w:r>
      <w:r>
        <w:t xml:space="preserve"> </w:t>
      </w:r>
      <w:r>
        <w:t xml:space="preserve">two groups, four biological replicates and two technical replicates; its</w:t>
      </w:r>
      <w:r>
        <w:t xml:space="preserve"> </w:t>
      </w:r>
      <w:r>
        <w:t xml:space="preserve">design table supplies the published gene-specific efficiencies. Because</w:t>
      </w:r>
      <w:r>
        <w:t xml:space="preserve"> </w:t>
      </w:r>
      <w:r>
        <w:t xml:space="preserve">those efficiencies are not all equal to the reference gene, the</w:t>
      </w:r>
      <w:r>
        <w:t xml:space="preserve"> </w:t>
      </w:r>
      <w:r>
        <w:t xml:space="preserve">efficiency-corrected standard-curve expression path was selected. The</w:t>
      </w:r>
      <w:r>
        <w:t xml:space="preserve"> </w:t>
      </w:r>
      <w:r>
        <w:t xml:space="preserve">treatment data and dilution series are separate published examples and are</w:t>
      </w:r>
      <w:r>
        <w:t xml:space="preserve"> </w:t>
      </w:r>
      <w:r>
        <w:t xml:space="preserve">not described as one biological experiment.</w:t>
      </w:r>
    </w:p>
    <w:p>
      <w:pPr>
        <w:pStyle w:val="Heading1"/>
      </w:pPr>
      <w:bookmarkStart w:id="16" w:name="_30d16d64c678f06e1adc1960afaeb60c3e6ab4e"/>
      <w:r>
        <w:t xml:space="preserve">Validation against an independent base-R reference</w:t>
      </w:r>
      <w:bookmarkEnd w:id="16"/>
    </w:p>
    <w:p>
      <w:pPr>
        <w:pStyle w:val="FirstParagraph"/>
      </w:pPr>
      <w:r>
        <w:t xml:space="preserve">The application and an independent base-R implementation were run on the same</w:t>
      </w:r>
      <w:r>
        <w:t xml:space="preserve"> </w:t>
      </w:r>
      <w:r>
        <w:t xml:space="preserve">input files for all three quantification methods. The reference was computed</w:t>
      </w:r>
      <w:r>
        <w:t xml:space="preserve"> </w:t>
      </w:r>
      <w:r>
        <w:t xml:space="preserve">directly from the raw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tables and did not call the R package. Every</w:t>
      </w:r>
      <w:r>
        <w:t xml:space="preserve"> </w:t>
      </w:r>
      <w:r>
        <w:t xml:space="preserve">resulting quantity was compared pairwise (Figure S2, Table S1).</w:t>
      </w:r>
    </w:p>
    <w:bookmarkStart w:id="20" w:name="_fd55569c83939c5939c2725da0491cb8711551b"/>
    <w:p>
      <w:pPr>
        <w:pStyle w:val="CaptionedFigure"/>
        <w:jc w:val="center"/>
      </w:pPr>
      <w:r>
        <w:drawing>
          <wp:inline>
            <wp:extent cx="5400000" cy="54000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/var/folders/t4/w5lxpw4j3lvfq7bs3f2x_wlr0000gn/T/tmpu8l2ezx4/fig3_equivalenc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rFonts w:ascii="Arial" w:hAnsi="Arial"/>
          <w:b/>
          <w:sz w:val="19"/>
        </w:rPr>
        <w:t xml:space="preserve">Figure S2. </w:t>
      </w:r>
      <w:r>
        <w:rPr>
          <w:sz w:val="19"/>
        </w:rPr>
        <w:t xml:space="preserve">Agreement between the application and an independent base-R</w:t>
      </w:r>
      <w:r>
        <w:rPr>
          <w:sz w:val="19"/>
        </w:rPr>
        <w:t xml:space="preserve"> </w:t>
      </w:r>
      <w:r>
        <w:rPr>
          <w:sz w:val="19"/>
        </w:rPr>
        <w:t xml:space="preserve">reference. Each application result is plotted against the corresponding</w:t>
      </w:r>
      <w:r>
        <w:rPr>
          <w:sz w:val="19"/>
        </w:rPr>
        <w:t xml:space="preserve"> </w:t>
      </w:r>
      <w:r>
        <w:rPr>
          <w:sz w:val="19"/>
        </w:rPr>
        <w:t xml:space="preserve">reference value across all methods; all points fall on the line</w:t>
      </w:r>
      <w:r>
        <w:rPr>
          <w:sz w:val="19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sz w:val="19"/>
        </w:rPr>
        <w:t xml:space="preserve">.</w:t>
      </w:r>
    </w:p>
    <w:bookmarkEnd w:id="20"/>
    <w:bookmarkStart w:id="21" w:name="_3a1daa7e4df54d949bc1226580aa5c2d2e163b0"/>
    <w:p>
      <w:pPr>
        <w:pStyle w:val="TableCaption"/>
        <w:keepNext/>
        <w:pageBreakBefore/>
        <w:jc w:val="both"/>
      </w:pPr>
      <w:r>
        <w:rPr>
          <w:rFonts w:ascii="Arial" w:hAnsi="Arial"/>
          <w:b/>
          <w:sz w:val="19"/>
        </w:rPr>
        <w:t xml:space="preserve">Table S1. </w:t>
      </w:r>
      <w:r>
        <w:rPr>
          <w:sz w:val="19"/>
        </w:rPr>
        <w:t xml:space="preserve">Agreement of the application with an independent base-R reference.</w:t>
      </w:r>
      <w:r>
        <w:rPr>
          <w:sz w:val="19"/>
        </w:rPr>
        <w:t xml:space="preserve"> </w:t>
      </w:r>
      <w:r>
        <w:rPr>
          <w:sz w:val="19"/>
        </w:rPr>
        <w:t xml:space="preserve">(a) Compared quantities across all three methods; the maximum relative</w:t>
      </w:r>
      <w:r>
        <w:rPr>
          <w:sz w:val="19"/>
        </w:rPr>
        <w:t xml:space="preserve"> </w:t>
      </w:r>
      <w:r>
        <w:rPr>
          <w:sz w:val="19"/>
        </w:rPr>
        <w:t xml:space="preserve">difference over all 58 paired values was</w:t>
      </w:r>
      <w:r>
        <w:rPr>
          <w:sz w:val="19"/>
        </w:rPr>
        <w:t xml:space="preserve"> </w:t>
      </w:r>
      <m:oMath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sz w:val="19"/>
        </w:rPr>
        <w:t xml:space="preserve">.</w:t>
      </w:r>
      <w:r>
        <w:rPr>
          <w:sz w:val="19"/>
        </w:rPr>
        <w:t xml:space="preserve"> </w:t>
      </w:r>
      <w:r>
        <w:rPr>
          <w:sz w:val="19"/>
        </w:rPr>
        <w:t xml:space="preserve">(b) Selected values from the bundled</w:t>
      </w:r>
      <w:r>
        <w:rPr>
          <w:sz w:val="19"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sz w:val="19"/>
        </w:rPr>
        <w:t xml:space="preserve"> </w:t>
      </w:r>
      <w:r>
        <w:rPr>
          <w:sz w:val="19"/>
        </w:rPr>
        <w:t xml:space="preserve">example.</w:t>
      </w:r>
      <w:r>
        <w:rPr>
          <w:sz w:val="19"/>
        </w:rPr>
        <w:t xml:space="preserve"> </w:t>
      </w:r>
      <w:r>
        <w:rPr>
          <w:sz w:val="19"/>
        </w:rPr>
        <w:t xml:space="preserve">The unadjusted</w:t>
      </w:r>
      <w:r>
        <w:rPr>
          <w:sz w:val="19"/>
        </w:rPr>
        <w:t xml:space="preserve"> </w:t>
      </w:r>
      <m:oMath>
        <m:r>
          <m:t>P</m:t>
        </m:r>
      </m:oMath>
      <w:r>
        <w:rPr>
          <w:sz w:val="19"/>
        </w:rPr>
        <w:t xml:space="preserve"> </w:t>
      </w:r>
      <w:r>
        <w:rPr>
          <w:sz w:val="19"/>
        </w:rPr>
        <w:t xml:space="preserve">values (0.006027 and 0.022191) are retained, and Holm</w:t>
      </w:r>
      <w:r>
        <w:rPr>
          <w:sz w:val="19"/>
        </w:rPr>
        <w:t xml:space="preserve"> </w:t>
      </w:r>
      <w:r>
        <w:rPr>
          <w:sz w:val="19"/>
        </w:rPr>
        <w:t xml:space="preserve">adjustment within the gene gives 0.012055 and 0.022191.</w:t>
      </w:r>
      <w:r>
        <w:rPr>
          <w:sz w:val="19"/>
        </w:rPr>
        <w:t xml:space="preserve"> </w:t>
      </w:r>
      <w:r>
        <w:rPr>
          <w:sz w:val="19"/>
        </w:rPr>
        <w:t xml:space="preserve">Generated by</w:t>
      </w:r>
      <w:r>
        <w:rPr>
          <w:sz w:val="19"/>
        </w:rPr>
        <w:t xml:space="preserve"> </w:t>
      </w:r>
      <w:r>
        <w:rPr>
          <w:rStyle w:val="VerbatimChar"/>
          <w:sz w:val="19"/>
        </w:rPr>
        <w:t xml:space="preserve">code/validation/</w:t>
      </w:r>
      <w:r>
        <w:rPr>
          <w:sz w:val="19"/>
        </w:rPr>
        <w:t xml:space="preserve"> </w:t>
      </w:r>
      <w:r>
        <w:rPr>
          <w:rStyle w:val="VerbatimChar"/>
          <w:sz w:val="19"/>
        </w:rPr>
        <w:t xml:space="preserve">reference_base_r.R</w:t>
      </w:r>
      <w:r>
        <w:rPr>
          <w:sz w:val="19"/>
        </w:rPr>
        <w:t xml:space="preserve"> </w:t>
      </w:r>
      <w:r>
        <w:rPr>
          <w:sz w:val="19"/>
        </w:rPr>
        <w:t xml:space="preserve">and</w:t>
      </w:r>
      <w:r>
        <w:rPr>
          <w:sz w:val="19"/>
        </w:rPr>
        <w:t xml:space="preserve"> </w:t>
      </w:r>
      <w:r>
        <w:rPr>
          <w:rStyle w:val="VerbatimChar"/>
          <w:sz w:val="19"/>
        </w:rPr>
        <w:t xml:space="preserve">code/validation/</w:t>
      </w:r>
      <w:r>
        <w:rPr>
          <w:sz w:val="19"/>
        </w:rPr>
        <w:t xml:space="preserve"> </w:t>
      </w:r>
      <w:r>
        <w:rPr>
          <w:rStyle w:val="VerbatimChar"/>
          <w:sz w:val="19"/>
        </w:rPr>
        <w:t xml:space="preserve">compare_to_reference.R</w:t>
      </w:r>
      <w:r>
        <w:rPr>
          <w:sz w:val="19"/>
        </w:rPr>
        <w:t xml:space="preserve">.</w:t>
      </w:r>
    </w:p>
    <w:tbl>
      <w:tblPr>
        <w:tblStyle w:val="Table"/>
        <w:tblW w:type="pct" w:w="4600"/>
        <w:tblLayout w:type="fixed"/>
        <w:tblLook w:firstRow="1" w:lastRow="0" w:firstColumn="0" w:lastColumn="0" w:noHBand="0" w:noVBand="0" w:val="0020"/>
        <w:tblCaption w:val="Agreement of the application with an independent base-R reference. (a) Compared quantities across all three methods; the maximum relative difference over all 58 paired values was 1.9 \times 10^{-14}. (b) Selected values from the bundled \Delta\Delta C_t example. The unadjusted P values (0.006027 and 0.022191) are retained, and Holm adjustment within the gene gives 0.012055 and 0.022191. Generated by code/validation/ reference_base_r.R and code/validation/ compare_to_reference.R.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3969"/>
        <w:gridCol w:w="2835"/>
      </w:tblGrid>
      <w:tr>
        <w:trPr>
          <w:tblHeader w:val="on"/>
          <w:cantSplit/>
        </w:trPr>
        <w:tc>
          <w:tcPr>
            <w:tcW w:type="dxa" w:w="2835"/>
            <w:gridSpan w:val="3"/>
            <w:tcBorders>
              <w:top w:val="single" w:sz="12" w:color="000000"/>
              <w:bottom w:val="single" w:sz="8" w:color="000000"/>
              <w:top w:val="single" w:sz="12" w:color="000000"/>
              <w:bottom w:val="single" w:sz="8" w:color="000000"/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i/>
                <w:iCs/>
                <w:sz w:val="16"/>
              </w:rPr>
              <w:t xml:space="preserve">(a) agreement with the independent base-R reference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Method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Compared quantities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Max. rel. diff.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expression, SD, raw and Holm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t>P</m:t>
              </m:r>
            </m:oMath>
          </w:p>
        </w:tc>
        <w:tc>
          <w:tcPr>
            <w:tcW w:type="dxa" w:w="2835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m:oMath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Standard curve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slope, intercept,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Arial" w:hAnsi="Arial"/>
                <w:sz w:val="16"/>
              </w:rPr>
              <w:t xml:space="preserve">, efficiency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m:oMath>
              <m:r>
                <m:t>4.2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RqPCR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expression, SD, SE, raw and Holm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t>P</m:t>
              </m:r>
            </m:oMath>
          </w:p>
        </w:tc>
        <w:tc>
          <w:tcPr>
            <w:tcW w:type="dxa" w:w="2835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835"/>
            <w:gridSpan w:val="3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i/>
                <w:iCs/>
                <w:sz w:val="16"/>
              </w:rPr>
              <w:t xml:space="preserve">(b) selected values (bundled example,</w:t>
            </w:r>
            <w:r>
              <w:rPr>
                <w:rFonts w:ascii="Arial" w:hAnsi="Arial"/>
                <w:i/>
                <w:iCs/>
                <w:sz w:val="16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Arial" w:hAnsi="Arial"/>
                <w:i/>
                <w:iCs/>
                <w:sz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Quantity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Application (C++)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Independent base-R reference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Mean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SD, group 0.0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m:oMath>
              <m:r>
                <m:t>1.0145</m:t>
              </m:r>
              <m:r>
                <m:rPr>
                  <m:sty m:val="p"/>
                </m:rPr>
                <m:t>±</m:t>
              </m:r>
              <m:r>
                <m:t>0.2098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m:oMath>
              <m:r>
                <m:t>1.0145</m:t>
              </m:r>
              <m:r>
                <m:rPr>
                  <m:sty m:val="p"/>
                </m:rPr>
                <m:t>±</m:t>
              </m:r>
              <m:r>
                <m:t>0.2098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Mean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SD, group 0.5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m:oMath>
              <m:r>
                <m:t>1.9169</m:t>
              </m:r>
              <m:r>
                <m:rPr>
                  <m:sty m:val="p"/>
                </m:rPr>
                <m:t>±</m:t>
              </m:r>
              <m:r>
                <m:t>0.2060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m:oMath>
              <m:r>
                <m:t>1.9169</m:t>
              </m:r>
              <m:r>
                <m:rPr>
                  <m:sty m:val="p"/>
                </m:rPr>
                <m:t>±</m:t>
              </m:r>
              <m:r>
                <m:t>0.2060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Mean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SD, group 1.0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m:oMath>
              <m:r>
                <m:t>2.7403</m:t>
              </m:r>
              <m:r>
                <m:rPr>
                  <m:sty m:val="p"/>
                </m:rPr>
                <m:t>±</m:t>
              </m:r>
              <m:r>
                <m:t>0.5580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m:oMath>
              <m:r>
                <m:t>2.7403</m:t>
              </m:r>
              <m:r>
                <m:rPr>
                  <m:sty m:val="p"/>
                </m:rPr>
                <m:t>±</m:t>
              </m:r>
              <m:r>
                <m:t>0.5580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Welch raw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vs control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0.006027 / 0.022191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0.006027 / 0.022191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Welch Holm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vs control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0.012055 / 0.022191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0.012055 / 0.022191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ANOVA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(all groups)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0.0034471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0.0034471</w:t>
            </w:r>
          </w:p>
        </w:tc>
      </w:tr>
      <w:tr>
        <w:trPr>
          <w:cantSplit/>
        </w:trPr>
        <w:tc>
          <w:tcPr>
            <w:tcW w:type="dxa" w:w="2268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Tukey letters</w:t>
            </w:r>
          </w:p>
        </w:tc>
        <w:tc>
          <w:tcPr>
            <w:tcW w:type="dxa" w:w="3969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b / ab / a</w:t>
            </w:r>
          </w:p>
        </w:tc>
        <w:tc>
          <w:tcPr>
            <w:tcW w:type="dxa" w:w="2835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b / ab / a</w:t>
            </w:r>
          </w:p>
        </w:tc>
      </w:tr>
    </w:tbl>
    <w:bookmarkEnd w:id="21"/>
    <w:p/>
    <w:bookmarkStart w:id="22" w:name="_c3ecbf941338ed8762069905898465d104abc4f"/>
    <w:p>
      <w:pPr>
        <w:pStyle w:val="TableCaption"/>
        <w:keepNext/>
        <w:jc w:val="both"/>
      </w:pPr>
      <w:r>
        <w:rPr>
          <w:rFonts w:ascii="Arial" w:hAnsi="Arial"/>
          <w:b/>
          <w:sz w:val="19"/>
        </w:rPr>
        <w:t xml:space="preserve">Table S2. </w:t>
      </w:r>
      <w:r>
        <w:rPr>
          <w:sz w:val="19"/>
        </w:rPr>
        <w:t xml:space="preserve">Sensitivity of the Welch comparison to the analysis scale. The</w:t>
      </w:r>
      <w:r>
        <w:rPr>
          <w:sz w:val="19"/>
        </w:rPr>
        <w:t xml:space="preserve"> </w:t>
      </w:r>
      <w:r>
        <w:rPr>
          <w:sz w:val="19"/>
        </w:rPr>
        <w:t xml:space="preserve">primary analysis uses linear relative expression; the alternative uses</w:t>
      </w:r>
      <w:r>
        <w:rPr>
          <w:sz w:val="19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sz w:val="19"/>
        </w:rPr>
        <w:t xml:space="preserve">. Holm correction is applied across the two treatment-control</w:t>
      </w:r>
      <w:r>
        <w:rPr>
          <w:sz w:val="19"/>
        </w:rPr>
        <w:t xml:space="preserve"> </w:t>
      </w:r>
      <w:r>
        <w:rPr>
          <w:sz w:val="19"/>
        </w:rPr>
        <w:t xml:space="preserve">comparisons on each scale.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Caption w:val="Sensitivity of the Welch comparison to the analysis scale. The primary analysis uses linear relative expression; the alternative uses \Delta C_t. Holm correction is applied across the two treatment-control comparisons on each scale.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1984"/>
        <w:gridCol w:w="1984"/>
      </w:tblGrid>
      <w:tr>
        <w:trPr>
          <w:tblHeader w:val="on"/>
          <w:cantSplit/>
        </w:trPr>
        <w:tc>
          <w:tcPr>
            <w:tcW w:type="dxa" w:w="5102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Scale and group</w:t>
            </w:r>
          </w:p>
        </w:tc>
        <w:tc>
          <w:tcPr>
            <w:tcW w:type="dxa" w:w="1984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Raw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t>P</m:t>
              </m:r>
            </m:oMath>
          </w:p>
        </w:tc>
        <w:tc>
          <w:tcPr>
            <w:tcW w:type="dxa" w:w="1984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Holm-adjusted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t>P</m:t>
              </m:r>
            </m:oMath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Linear relative expression, dose 0.5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0.006027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0.012055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Linear relative expression, dose 1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0.022191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0.022191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Arial" w:hAnsi="Arial"/>
                <w:sz w:val="16"/>
              </w:rPr>
              <w:t xml:space="preserve">, dose 0.5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0.017565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0.017565</w:t>
            </w:r>
          </w:p>
        </w:tc>
      </w:tr>
      <w:tr>
        <w:trPr>
          <w:cantSplit/>
        </w:trPr>
        <w:tc>
          <w:tcPr>
            <w:tcW w:type="dxa" w:w="5102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Arial" w:hAnsi="Arial"/>
                <w:sz w:val="16"/>
              </w:rPr>
              <w:t xml:space="preserve">, dose 1</w:t>
            </w:r>
          </w:p>
        </w:tc>
        <w:tc>
          <w:tcPr>
            <w:tcW w:type="dxa" w:w="1984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0.004404</w:t>
            </w:r>
          </w:p>
        </w:tc>
        <w:tc>
          <w:tcPr>
            <w:tcW w:type="dxa" w:w="1984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0.008809</w:t>
            </w:r>
          </w:p>
        </w:tc>
      </w:tr>
    </w:tbl>
    <w:bookmarkEnd w:id="22"/>
    <w:p/>
    <w:bookmarkStart w:id="23" w:name="_bac9e694e4375114e9584b9060436126dba5b2d"/>
    <w:p>
      <w:pPr>
        <w:pStyle w:val="TableCaption"/>
        <w:keepNext/>
        <w:jc w:val="both"/>
      </w:pPr>
      <w:r>
        <w:rPr>
          <w:rFonts w:ascii="Arial" w:hAnsi="Arial"/>
          <w:b/>
          <w:sz w:val="19"/>
        </w:rPr>
        <w:t xml:space="preserve">Table S3. </w:t>
      </w:r>
      <w:r>
        <w:rPr>
          <w:sz w:val="19"/>
        </w:rPr>
        <w:t xml:space="preserve">End-to-end re-analysis of the published qPCRtools examples.</w:t>
      </w:r>
      <w:r>
        <w:rPr>
          <w:sz w:val="19"/>
        </w:rPr>
        <w:t xml:space="preserve"> </w:t>
      </w:r>
      <w:r>
        <w:rPr>
          <w:sz w:val="19"/>
        </w:rPr>
        <w:t xml:space="preserve">The two plates are separate examples from the 2022 study. The workflow was</w:t>
      </w:r>
      <w:r>
        <w:rPr>
          <w:sz w:val="19"/>
        </w:rPr>
        <w:t xml:space="preserve"> </w:t>
      </w:r>
      <w:r>
        <w:rPr>
          <w:sz w:val="19"/>
        </w:rPr>
        <w:t xml:space="preserve">run through the graphical interface and checked by</w:t>
      </w:r>
      <w:r>
        <w:rPr>
          <w:sz w:val="19"/>
        </w:rPr>
        <w:t xml:space="preserve"> </w:t>
      </w:r>
      <w:r>
        <w:rPr>
          <w:rStyle w:val="VerbatimChar"/>
          <w:sz w:val="19"/>
        </w:rPr>
        <w:t xml:space="preserve">code/scripts/19_verify_real_workflow.py</w:t>
      </w:r>
      <w:r>
        <w:rPr>
          <w:sz w:val="19"/>
        </w:rPr>
        <w:t xml:space="preserve">.</w:t>
      </w:r>
    </w:p>
    <w:tbl>
      <w:tblPr>
        <w:tblStyle w:val="Table"/>
        <w:tblW w:type="pct" w:w="4600"/>
        <w:tblLayout w:type="fixed"/>
        <w:tblLook w:firstRow="1" w:lastRow="0" w:firstColumn="0" w:lastColumn="0" w:noHBand="0" w:noVBand="0" w:val="0020"/>
        <w:tblCaption w:val="End-to-end re-analysis of the published qPCRtools examples. The two plates are separate examples from the 2022 study. The workflow was run through the graphical interface and checked by code/scripts/19_verify_real_workflow.py.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1984"/>
        <w:gridCol w:w="1984"/>
      </w:tblGrid>
      <w:tr>
        <w:trPr>
          <w:tblHeader w:val="on"/>
          <w:cantSplit/>
        </w:trPr>
        <w:tc>
          <w:tcPr>
            <w:tcW w:type="dxa" w:w="5102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Stage</w:t>
            </w:r>
          </w:p>
        </w:tc>
        <w:tc>
          <w:tcPr>
            <w:tcW w:type="dxa" w:w="1984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Input and settings</w:t>
            </w:r>
          </w:p>
        </w:tc>
        <w:tc>
          <w:tcPr>
            <w:tcW w:type="dxa" w:w="1984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Dilution series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96 wells; four genes; eight four-fold concentrations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(4–4096); three wells per point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Gene1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0.7509</m:t>
              </m:r>
            </m:oMath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and was rejected;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the other curves had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0.9983</m:t>
              </m:r>
            </m:oMath>
            <w:r>
              <w:rPr>
                <w:rFonts w:ascii="Arial" w:hAnsi="Arial"/>
                <w:sz w:val="16"/>
              </w:rPr>
              <w:t xml:space="preserve">–</w:t>
            </w:r>
            <m:oMath>
              <m:r>
                <m:t>0.9993</m:t>
              </m:r>
            </m:oMath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Method selection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Published gene-specific efficiencies for six genes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Standard-curve expression selected instead of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</m:sup>
              </m:sSup>
            </m:oMath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Group comparison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96 wells; five target genes plus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i/>
                <w:iCs/>
                <w:sz w:val="16"/>
              </w:rPr>
              <w:t xml:space="preserve">OsUBQ</w:t>
            </w:r>
            <w:r>
              <w:rPr>
                <w:rFonts w:ascii="Arial" w:hAnsi="Arial"/>
                <w:sz w:val="16"/>
              </w:rPr>
              <w:t xml:space="preserve">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CK versus treatment; four biological and two technical replicates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Welch tests with Holm correction: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i/>
                <w:iCs/>
                <w:sz w:val="16"/>
              </w:rPr>
              <w:t xml:space="preserve">OsPR10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0.0368</m:t>
              </m:r>
            </m:oMath>
            <w:r>
              <w:rPr>
                <w:rFonts w:ascii="Arial" w:hAnsi="Arial"/>
                <w:sz w:val="16"/>
              </w:rPr>
              <w:t xml:space="preserve">;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i/>
                <w:iCs/>
                <w:sz w:val="16"/>
              </w:rPr>
              <w:t xml:space="preserve">OsWAK91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0.00230</m:t>
              </m:r>
            </m:oMath>
            <w:r>
              <w:rPr>
                <w:rFonts w:ascii="Arial" w:hAnsi="Arial"/>
                <w:sz w:val="16"/>
              </w:rPr>
              <w:t xml:space="preserve">; the other three genes were not significant</w:t>
            </w:r>
          </w:p>
        </w:tc>
      </w:tr>
      <w:tr>
        <w:trPr>
          <w:cantSplit/>
        </w:trPr>
        <w:tc>
          <w:tcPr>
            <w:tcW w:type="dxa" w:w="5102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QC and export</w:t>
            </w:r>
          </w:p>
        </w:tc>
        <w:tc>
          <w:tcPr>
            <w:tcW w:type="dxa" w:w="1984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Default Cq and technical-replicate thresholds; summary,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replicate-level table, two figures and analysis record exported</w:t>
            </w:r>
          </w:p>
        </w:tc>
        <w:tc>
          <w:tcPr>
            <w:tcW w:type="dxa" w:w="1984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One well with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35</m:t>
              </m:r>
            </m:oMath>
            <w:r>
              <w:rPr>
                <w:rFonts w:ascii="Arial" w:hAnsi="Arial"/>
                <w:sz w:val="16"/>
              </w:rPr>
              <w:t xml:space="preserve">; 13 samples with technical-replicate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SD</w:t>
            </w:r>
            <w:r>
              <w:rPr>
                <w:rFonts w:ascii="Arial" w:hAnsi="Arial"/>
                <w:sz w:val="16"/>
              </w:rP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0.5</m:t>
              </m:r>
            </m:oMath>
            <w:r>
              <w:rPr>
                <w:rFonts w:ascii="Arial" w:hAnsi="Arial"/>
                <w:sz w:val="16"/>
              </w:rPr>
              <w:t xml:space="preserve">; deterministic checker returned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REAL-WORKFLOW PASS</w:t>
            </w:r>
          </w:p>
        </w:tc>
      </w:tr>
    </w:tbl>
    <w:bookmarkEnd w:id="23"/>
    <w:p>
      <w:pPr>
        <w:pStyle w:val="FirstParagraph"/>
      </w:pPr>
      <w:r>
        <w:t xml:space="preserve">The maximum relative difference over all compared values was</w:t>
      </w:r>
      <w:r>
        <w:t xml:space="preserve"> </w:t>
      </w:r>
      <m:oMath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 Numerical agreement establishes consistency with the</w:t>
      </w:r>
      <w:r>
        <w:t xml:space="preserve"> </w:t>
      </w:r>
      <w:r>
        <w:t xml:space="preserve">specified algorithms, not biological correctness.</w:t>
      </w:r>
    </w:p>
    <w:p>
      <w:pPr>
        <w:pStyle w:val="BodyText"/>
      </w:pPr>
      <w:r>
        <w:t xml:space="preserve">For the ANOVA path, the overall ANOVA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 was 0.0034471 and the Tukey</w:t>
      </w:r>
      <w:r>
        <w:t xml:space="preserve"> </w:t>
      </w:r>
      <w:r>
        <w:t xml:space="preserve">compact letter display was b / ab / a. Group 0 and group 1 differed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r>
          <m:t>0.0028</m:t>
        </m:r>
      </m:oMath>
      <w:r>
        <w:t xml:space="preserve">), whereas group 0.5 was not separated from either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r>
          <m:t>0.052</m:t>
        </m:r>
      </m:oMath>
      <w:r>
        <w:t xml:space="preserve"> </w:t>
      </w:r>
      <w:r>
        <w:t xml:space="preserve">and 0.073). The Holm-adjusted Welch comparison for</w:t>
      </w:r>
      <w:r>
        <w:t xml:space="preserve"> </w:t>
      </w:r>
      <w:r>
        <w:t xml:space="preserve">the 0.5 group was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0.0121</m:t>
        </m:r>
      </m:oMath>
      <w:r>
        <w:t xml:space="preserve">, so its symbol changed from ** to * relative to</w:t>
      </w:r>
      <w:r>
        <w:t xml:space="preserve"> </w:t>
      </w:r>
      <w:r>
        <w:t xml:space="preserve">the unadjusted value.</w:t>
      </w:r>
    </w:p>
    <w:sectPr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  <w:jc w:val="both"/>
    </w:pPr>
    <w:rPr>
      <w:rFonts w:ascii="Arial" w:hAnsi="Arial" w:eastAsia="Arial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7" Type="http://schemas.openxmlformats.org/officeDocument/2006/relationships/image" Target="media/rId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qPCRtools: a cross-platform desktop application for reproducible qPCR analysis without programming</dc:title>
  <dc:creator>Xiang Li; Huichuan Huang</dc:creator>
  <cp:keywords/>
  <dcterms:created xsi:type="dcterms:W3CDTF">2026-10-29T05:48:06Z</dcterms:created>
  <dcterms:modified xsi:type="dcterms:W3CDTF">2026-10-29T05:48:06Z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/Users/lixiang/Zotero/styles/nlm-citation-sequence.csl</vt:lpwstr>
  </property>
  <property fmtid="{D5CDD505-2E9C-101B-9397-08002B2CF9AE}" pid="4" name="date">
    <vt:lpwstr/>
  </property>
</Properties>
</file>