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8A066">
      <w:pPr>
        <w:pStyle w:val="15"/>
        <w:jc w:val="center"/>
        <w:rPr>
          <w:rFonts w:hint="default" w:ascii="Arial Regular" w:hAnsi="Arial Regular" w:cs="Arial Regular"/>
          <w:sz w:val="36"/>
          <w:szCs w:val="36"/>
        </w:rPr>
      </w:pPr>
      <w:r>
        <w:rPr>
          <w:rFonts w:hint="eastAsia" w:ascii="Arial Regular" w:hAnsi="Arial Regular" w:cs="Arial Regular"/>
          <w:sz w:val="36"/>
          <w:szCs w:val="36"/>
          <w:lang w:eastAsia="zh-CN"/>
        </w:rPr>
        <w:t>qPCRtools2</w:t>
      </w:r>
      <w:r>
        <w:rPr>
          <w:rFonts w:hint="default" w:ascii="Arial Regular" w:hAnsi="Arial Regular" w:cs="Arial Regular"/>
          <w:sz w:val="36"/>
          <w:szCs w:val="36"/>
        </w:rPr>
        <w:t>: a cross-platform C++ desktop application for qPCR data analysis with validated equivalence to its R</w:t>
      </w:r>
      <w:r>
        <w:rPr>
          <w:rFonts w:hint="eastAsia" w:ascii="Arial Regular" w:hAnsi="Arial Regular" w:cs="Arial Regular"/>
          <w:sz w:val="36"/>
          <w:szCs w:val="36"/>
          <w:lang w:val="en-US" w:eastAsia="zh-CN"/>
        </w:rPr>
        <w:t xml:space="preserve"> </w:t>
      </w:r>
      <w:r>
        <w:rPr>
          <w:rFonts w:hint="default" w:ascii="Arial Regular" w:hAnsi="Arial Regular" w:cs="Arial Regular"/>
          <w:sz w:val="36"/>
          <w:szCs w:val="36"/>
        </w:rPr>
        <w:t>implementation</w:t>
      </w:r>
    </w:p>
    <w:p w14:paraId="3E0B923B">
      <w:pPr>
        <w:pStyle w:val="3"/>
        <w:rPr>
          <w:rFonts w:hint="default" w:ascii="Arial Regular" w:hAnsi="Arial Regular" w:cs="Arial Regular"/>
        </w:rPr>
      </w:pPr>
    </w:p>
    <w:p w14:paraId="7BAF0B78">
      <w:pPr>
        <w:pStyle w:val="27"/>
        <w:jc w:val="center"/>
        <w:rPr>
          <w:rFonts w:hint="default" w:ascii="Arial Regular" w:hAnsi="Arial Regular" w:cs="Arial Regular"/>
        </w:rPr>
      </w:pPr>
      <w:r>
        <w:rPr>
          <w:rFonts w:hint="default" w:ascii="Arial Regular" w:hAnsi="Arial Regular" w:cs="Arial Regular"/>
        </w:rPr>
        <w:t>Xiang Li</w:t>
      </w:r>
      <w:r>
        <w:rPr>
          <w:rFonts w:hint="default" w:ascii="Arial Regular" w:hAnsi="Arial Regular" w:cs="Arial Regular"/>
          <w:vertAlign w:val="superscript"/>
          <w:lang w:val="en-US" w:eastAsia="zh-CN"/>
        </w:rPr>
        <w:t>1,2</w:t>
      </w:r>
      <w:r>
        <w:rPr>
          <w:rFonts w:hint="default" w:ascii="Arial Regular" w:hAnsi="Arial Regular" w:cs="Arial Regular"/>
          <w:lang w:val="en-US" w:eastAsia="zh-CN"/>
        </w:rPr>
        <w:t>, xxx, Huichuan Huang</w:t>
      </w:r>
      <w:r>
        <w:rPr>
          <w:rFonts w:hint="default" w:ascii="Arial Regular" w:hAnsi="Arial Regular" w:cs="Arial Regular"/>
          <w:vertAlign w:val="superscript"/>
          <w:lang w:val="en-US" w:eastAsia="zh-CN"/>
        </w:rPr>
        <w:t>2,*</w:t>
      </w:r>
      <w:r>
        <w:rPr>
          <w:rFonts w:hint="default" w:ascii="Arial Regular" w:hAnsi="Arial Regular" w:cs="Arial Regular"/>
        </w:rPr>
        <w:br w:type="textWrapping"/>
      </w:r>
    </w:p>
    <w:p w14:paraId="7F351F56">
      <w:pPr>
        <w:pStyle w:val="27"/>
        <w:jc w:val="left"/>
        <w:rPr>
          <w:rFonts w:hint="default" w:ascii="Arial Regular" w:hAnsi="Arial Regular" w:cs="Arial Regular"/>
          <w:vertAlign w:val="baseline"/>
          <w:lang w:val="en-US" w:eastAsia="zh-CN"/>
        </w:rPr>
      </w:pPr>
      <w:r>
        <w:rPr>
          <w:rFonts w:hint="default" w:ascii="Arial Regular" w:hAnsi="Arial Regular" w:cs="Arial Regular"/>
          <w:vertAlign w:val="superscript"/>
          <w:lang w:val="en-US" w:eastAsia="zh-CN"/>
        </w:rPr>
        <w:t xml:space="preserve">1 </w:t>
      </w:r>
      <w:r>
        <w:rPr>
          <w:rFonts w:hint="default" w:ascii="Arial Regular" w:hAnsi="Arial Regular" w:cs="Arial Regular"/>
          <w:vertAlign w:val="baseline"/>
          <w:lang w:val="en-US" w:eastAsia="zh-CN"/>
        </w:rPr>
        <w:t>Yazhouwan National Laboratory, Sanya, Hainan Province, China</w:t>
      </w:r>
    </w:p>
    <w:p w14:paraId="741ECCFE">
      <w:pPr>
        <w:pStyle w:val="27"/>
        <w:jc w:val="left"/>
        <w:rPr>
          <w:rFonts w:hint="default" w:ascii="Arial Regular" w:hAnsi="Arial Regular" w:cs="Arial Regular"/>
        </w:rPr>
      </w:pPr>
      <w:r>
        <w:rPr>
          <w:rFonts w:hint="default" w:ascii="Arial Regular" w:hAnsi="Arial Regular" w:cs="Arial Regular"/>
          <w:vertAlign w:val="superscript"/>
          <w:lang w:val="en-US" w:eastAsia="zh-CN"/>
        </w:rPr>
        <w:t xml:space="preserve">2 </w:t>
      </w:r>
      <w:r>
        <w:rPr>
          <w:rFonts w:hint="default" w:ascii="Arial Regular" w:hAnsi="Arial Regular" w:cs="Arial Regular"/>
        </w:rPr>
        <w:t>State Key Laboratory for Conservation and Utilization of Bio-Resources in Yunnan,</w:t>
      </w:r>
      <w:r>
        <w:rPr>
          <w:rFonts w:hint="default" w:ascii="Arial Regular" w:hAnsi="Arial Regular" w:cs="Arial Regular"/>
          <w:lang w:val="en-US" w:eastAsia="zh-CN"/>
        </w:rPr>
        <w:t xml:space="preserve"> </w:t>
      </w:r>
      <w:r>
        <w:rPr>
          <w:rFonts w:hint="default" w:ascii="Arial Regular" w:hAnsi="Arial Regular" w:cs="Arial Regular"/>
        </w:rPr>
        <w:t>Yunnan Agricultural University, Kunming, China</w:t>
      </w:r>
    </w:p>
    <w:p w14:paraId="5AAD5CA7">
      <w:pPr>
        <w:pStyle w:val="27"/>
        <w:jc w:val="left"/>
        <w:rPr>
          <w:rFonts w:hint="default" w:ascii="Arial Regular" w:hAnsi="Arial Regular" w:cs="Arial Regular"/>
        </w:rPr>
      </w:pPr>
      <w:r>
        <w:rPr>
          <w:rFonts w:hint="default" w:ascii="Arial Regular" w:hAnsi="Arial Regular" w:cs="Arial Regular"/>
        </w:rPr>
        <w:br w:type="textWrapping"/>
      </w:r>
      <w:r>
        <w:rPr>
          <w:rFonts w:hint="default" w:ascii="Arial Regular" w:hAnsi="Arial Regular" w:cs="Arial Regular"/>
          <w:lang w:val="en-US" w:eastAsia="zh-CN"/>
        </w:rPr>
        <w:t xml:space="preserve">Corresponding author email: </w:t>
      </w:r>
      <w:r>
        <w:rPr>
          <w:rStyle w:val="48"/>
          <w:rFonts w:hint="default" w:ascii="Arial Regular" w:hAnsi="Arial Regular" w:cs="Arial Regular"/>
          <w:lang w:val="en-US" w:eastAsia="zh-CN"/>
        </w:rPr>
        <w:t>absklhhc</w:t>
      </w:r>
      <w:r>
        <w:rPr>
          <w:rStyle w:val="48"/>
          <w:rFonts w:hint="default" w:ascii="Arial Regular" w:hAnsi="Arial Regular" w:cs="Arial Regular"/>
        </w:rPr>
        <w:t>@gmail.com</w:t>
      </w:r>
    </w:p>
    <w:p w14:paraId="6E7CBDBD">
      <w:pPr>
        <w:pStyle w:val="28"/>
        <w:rPr>
          <w:rFonts w:hint="default" w:ascii="Arial Regular" w:hAnsi="Arial Regular" w:cs="Arial Regular"/>
        </w:rPr>
      </w:pPr>
      <w:r>
        <w:rPr>
          <w:rFonts w:hint="default" w:ascii="Arial Regular" w:hAnsi="Arial Regular" w:cs="Arial Regular"/>
        </w:rPr>
        <w:t>Abstract</w:t>
      </w:r>
    </w:p>
    <w:p w14:paraId="02043900">
      <w:pPr>
        <w:pStyle w:val="29"/>
        <w:jc w:val="both"/>
        <w:rPr>
          <w:rFonts w:hint="default" w:ascii="Arial Regular" w:hAnsi="Arial Regular" w:cs="Arial Regular"/>
        </w:rPr>
      </w:pPr>
      <w:r>
        <w:rPr>
          <w:rFonts w:hint="default" w:ascii="Arial Regular" w:hAnsi="Arial Regular" w:cs="Arial Regular"/>
        </w:rPr>
        <w:t xml:space="preserve">Quantitative real-time PCR (qPCR) is a cornerstone technique for measuring gene expression, yet rigorous analysis—primer-amplification-efficiency estimation, choice of quantification method, statistical testing, and publication-quality visualization—remains non-trivial. Existing tools either require programming, notably in R (including our own </w:t>
      </w:r>
      <w:r>
        <w:rPr>
          <w:rFonts w:hint="eastAsia" w:ascii="Arial Regular" w:hAnsi="Arial Regular" w:cs="Arial Regular"/>
          <w:i/>
          <w:iCs/>
          <w:lang w:eastAsia="zh-CN"/>
        </w:rPr>
        <w:t>qPCRtools</w:t>
      </w:r>
      <w:r>
        <w:rPr>
          <w:rFonts w:hint="default" w:ascii="Arial Regular" w:hAnsi="Arial Regular" w:cs="Arial Regular"/>
        </w:rPr>
        <w:t xml:space="preserve"> package), or are commercial software that is costly, closed-source, and platform-restricted, or are web services that are often discontinued and raise data-privacy concerns. Here we present </w:t>
      </w:r>
      <w:r>
        <w:rPr>
          <w:rFonts w:hint="eastAsia" w:ascii="Arial Regular" w:hAnsi="Arial Regular" w:cs="Arial Regular"/>
          <w:i/>
          <w:iCs/>
          <w:lang w:eastAsia="zh-CN"/>
        </w:rPr>
        <w:t>qPCRtools2</w:t>
      </w:r>
      <w:r>
        <w:rPr>
          <w:rFonts w:hint="default" w:ascii="Arial Regular" w:hAnsi="Arial Regular" w:cs="Arial Regular"/>
        </w:rPr>
        <w:t xml:space="preserve">, a cross-platform desktop application written in C++ with Qt6 that delivers a complete qPCR analysis pipeline through a graphical interface and ships as a single executable with no runtime dependencies. The application implements standard-curve construction and amplification-efficiency estimation, the </w:t>
      </w:r>
      <m:oMath>
        <m:r>
          <m:rPr>
            <m:sty m:val="p"/>
          </m:rPr>
          <w:rPr>
            <w:rFonts w:hint="default" w:ascii="DejaVu Math TeX Gyre" w:hAnsi="DejaVu Math TeX Gyre" w:cs="Arial Regular"/>
          </w:rPr>
          <m:t>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and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methods, and an efficiency-based (RqPCR) method, together with extended statistical testing (independent, paired, and Welch </w:t>
      </w:r>
      <m:oMath>
        <m:r>
          <m:rPr/>
          <w:rPr>
            <w:rFonts w:hint="default" w:ascii="DejaVu Math TeX Gyre" w:hAnsi="DejaVu Math TeX Gyre" w:cs="Arial Regular"/>
          </w:rPr>
          <m:t>t</m:t>
        </m:r>
      </m:oMath>
      <w:r>
        <w:rPr>
          <w:rFonts w:hint="default" w:ascii="Arial Regular" w:hAnsi="Arial Regular" w:cs="Arial Regular"/>
        </w:rPr>
        <w:t xml:space="preserve">-tests, Wilcoxon tests, one-way ANOVA with Tukey’s HSD, Shapiro–Wilk normality testing, and Cohen’s </w:t>
      </w:r>
      <m:oMath>
        <m:r>
          <m:rPr/>
          <w:rPr>
            <w:rFonts w:hint="default" w:ascii="DejaVu Math TeX Gyre" w:hAnsi="DejaVu Math TeX Gyre" w:cs="Arial Regular"/>
          </w:rPr>
          <m:t>d</m:t>
        </m:r>
      </m:oMath>
      <w:r>
        <w:rPr>
          <w:rFonts w:hint="default" w:ascii="Arial Regular" w:hAnsi="Arial Regular" w:cs="Arial Regular"/>
        </w:rPr>
        <w:t xml:space="preserve">). We validated the C++ implementation against the original R package on multiple real datasets: across all shared methods the results agree to numerical precision, and the validation is fully reproducible from open scripts. </w:t>
      </w:r>
      <w:r>
        <w:rPr>
          <w:rFonts w:hint="eastAsia" w:ascii="Arial Regular" w:hAnsi="Arial Regular" w:cs="Arial Regular"/>
          <w:i/>
          <w:iCs/>
          <w:lang w:eastAsia="zh-CN"/>
        </w:rPr>
        <w:t>qPCRtools2</w:t>
      </w:r>
      <w:r>
        <w:rPr>
          <w:rFonts w:hint="default" w:ascii="Arial Regular" w:hAnsi="Arial Regular" w:cs="Arial Regular"/>
        </w:rPr>
        <w:t xml:space="preserve"> is freely available under the MIT license for Windows and macOS, with source code compila</w:t>
      </w:r>
      <w:bookmarkStart w:id="31" w:name="_GoBack"/>
      <w:bookmarkEnd w:id="31"/>
      <w:r>
        <w:rPr>
          <w:rFonts w:hint="default" w:ascii="Arial Regular" w:hAnsi="Arial Regular" w:cs="Arial Regular"/>
        </w:rPr>
        <w:t>ble on Linux.</w:t>
      </w:r>
    </w:p>
    <w:p w14:paraId="534128D8">
      <w:pPr>
        <w:pStyle w:val="2"/>
        <w:rPr>
          <w:rFonts w:hint="default" w:ascii="Arial Regular" w:hAnsi="Arial Regular" w:cs="Arial Regular"/>
        </w:rPr>
      </w:pPr>
      <w:bookmarkStart w:id="0" w:name="introduction"/>
      <w:r>
        <w:rPr>
          <w:rFonts w:hint="default" w:ascii="Arial Regular" w:hAnsi="Arial Regular" w:cs="Arial Regular"/>
        </w:rPr>
        <w:t>Introduction</w:t>
      </w:r>
    </w:p>
    <w:p w14:paraId="70C205A7">
      <w:pPr>
        <w:pStyle w:val="23"/>
        <w:rPr>
          <w:rFonts w:hint="default" w:ascii="Arial Regular" w:hAnsi="Arial Regular" w:cs="Arial Regular"/>
        </w:rPr>
      </w:pPr>
      <w:r>
        <w:rPr>
          <w:rFonts w:hint="default" w:ascii="Arial Regular" w:hAnsi="Arial Regular" w:cs="Arial Regular"/>
        </w:rPr>
        <w:t xml:space="preserve">Quantitative real-time PCR (qPCR) is among the most widely used techniques in molecular biology for quantifying nucleic acids and measuring gene expression (Bustin et al. 2009). A sound qPCR analysis involves several interdependent steps: estimating primer amplification efficiency, choosing an appropriate quantification strategy, performing statistical testing, and producing publication-quality figures (Bustin et al. 2010). When the amplification efficiencies of target and reference genes are comparable, the </w:t>
      </w:r>
      <m:oMath>
        <m:sSup>
          <m:sSupPr>
            <m:ctrlPr>
              <w:rPr>
                <w:rFonts w:hint="default" w:ascii="DejaVu Math TeX Gyre" w:hAnsi="DejaVu Math TeX Gyre" w:cs="Arial Regular"/>
              </w:rPr>
            </m:ctrlPr>
          </m:sSupPr>
          <m:e>
            <m:r>
              <m:rPr/>
              <w:rPr>
                <w:rFonts w:hint="default" w:ascii="DejaVu Math TeX Gyre" w:hAnsi="DejaVu Math TeX Gyre" w:cs="Arial Regular"/>
              </w:rPr>
              <m:t>2</m:t>
            </m:r>
            <m:ctrlPr>
              <w:rPr>
                <w:rFonts w:hint="default" w:ascii="DejaVu Math TeX Gyre" w:hAnsi="DejaVu Math TeX Gyre" w:cs="Arial Regular"/>
              </w:rPr>
            </m:ctrlPr>
          </m:e>
          <m:sup>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ctrlPr>
              <w:rPr>
                <w:rFonts w:hint="default" w:ascii="DejaVu Math TeX Gyre" w:hAnsi="DejaVu Math TeX Gyre" w:cs="Arial Regular"/>
              </w:rPr>
            </m:ctrlPr>
          </m:sup>
        </m:sSup>
      </m:oMath>
      <w:r>
        <w:rPr>
          <w:rFonts w:hint="default" w:ascii="Arial Regular" w:hAnsi="Arial Regular" w:cs="Arial Regular"/>
        </w:rPr>
        <w:t xml:space="preserve"> method (Livak and Schmittgen 2001) is convenient; when they differ, an efficiency-corrected or standard-curve-based approach is required instead (Pfaffl 2001). These analytical choices, combined with the need for rigorous statistics and clear visualization, make qPCR data analysis demanding for many laboratory researchers.</w:t>
      </w:r>
    </w:p>
    <w:p w14:paraId="4A3DAED7">
      <w:pPr>
        <w:pStyle w:val="3"/>
        <w:rPr>
          <w:rFonts w:hint="default" w:ascii="Arial Regular" w:hAnsi="Arial Regular" w:cs="Arial Regular"/>
        </w:rPr>
      </w:pPr>
      <w:r>
        <w:rPr>
          <w:rFonts w:hint="default" w:ascii="Arial Regular" w:hAnsi="Arial Regular" w:cs="Arial Regular"/>
        </w:rPr>
        <w:t xml:space="preserve">A range of tools address qPCR analysis (Pabinger et al. 2014), yet each carries trade-offs. R packages—including our own </w:t>
      </w:r>
      <w:r>
        <w:rPr>
          <w:rFonts w:hint="eastAsia" w:ascii="Arial Regular" w:hAnsi="Arial Regular" w:cs="Arial Regular"/>
          <w:i/>
          <w:iCs/>
          <w:lang w:eastAsia="zh-CN"/>
        </w:rPr>
        <w:t>qPCRtools2</w:t>
      </w:r>
      <w:r>
        <w:rPr>
          <w:rFonts w:hint="default" w:ascii="Arial Regular" w:hAnsi="Arial Regular" w:cs="Arial Regular"/>
        </w:rPr>
        <w:t xml:space="preserve"> (Li et al. 2022) and </w:t>
      </w:r>
      <w:r>
        <w:rPr>
          <w:rFonts w:hint="default" w:ascii="Arial Regular" w:hAnsi="Arial Regular" w:cs="Arial Regular"/>
          <w:i/>
          <w:iCs/>
        </w:rPr>
        <w:t>pcr</w:t>
      </w:r>
      <w:r>
        <w:rPr>
          <w:rFonts w:hint="default" w:ascii="Arial Regular" w:hAnsi="Arial Regular" w:cs="Arial Regular"/>
        </w:rPr>
        <w:t xml:space="preserve"> (Ahmed and Kim 2018)—implement sound algorithms but demand R programming skill and a configured software environment, which hampers reproducibility across collaborators. Commercial packages such as QuantStudio, CFX Maestro, REST, and qbase+ offer graphical interfaces but are costly, closed-source, and frequently restricted to a single operating system or instrument. Free web-based tools exist but are often discontinued and require uploading experimental data to remote servers, raising reproducibility and privacy concerns. The gap, therefore, is for a tool that combines </w:t>
      </w:r>
      <w:r>
        <w:rPr>
          <w:rFonts w:hint="default" w:ascii="Arial Regular" w:hAnsi="Arial Regular" w:cs="Arial Regular"/>
          <w:i/>
          <w:iCs/>
        </w:rPr>
        <w:t>validated algorithmic equivalence</w:t>
      </w:r>
      <w:r>
        <w:rPr>
          <w:rFonts w:hint="default" w:ascii="Arial Regular" w:hAnsi="Arial Regular" w:cs="Arial Regular"/>
        </w:rPr>
        <w:t xml:space="preserve"> to a trusted implementation with a </w:t>
      </w:r>
      <w:r>
        <w:rPr>
          <w:rFonts w:hint="default" w:ascii="Arial Regular" w:hAnsi="Arial Regular" w:cs="Arial Regular"/>
          <w:i/>
          <w:iCs/>
        </w:rPr>
        <w:t>native, cross-platform, zero-dependency</w:t>
      </w:r>
      <w:r>
        <w:rPr>
          <w:rFonts w:hint="default" w:ascii="Arial Regular" w:hAnsi="Arial Regular" w:cs="Arial Regular"/>
        </w:rPr>
        <w:t xml:space="preserve"> delivery, together with statistical options broader than those of the original R package.</w:t>
      </w:r>
    </w:p>
    <w:p w14:paraId="4441204E">
      <w:pPr>
        <w:pStyle w:val="3"/>
        <w:rPr>
          <w:rFonts w:hint="default" w:ascii="Arial Regular" w:hAnsi="Arial Regular" w:cs="Arial Regular"/>
        </w:rPr>
      </w:pPr>
      <w:r>
        <w:rPr>
          <w:rFonts w:hint="default" w:ascii="Arial Regular" w:hAnsi="Arial Regular" w:cs="Arial Regular"/>
        </w:rPr>
        <w:t xml:space="preserve">We introduce </w:t>
      </w:r>
      <w:r>
        <w:rPr>
          <w:rFonts w:hint="eastAsia" w:ascii="Arial Regular" w:hAnsi="Arial Regular" w:cs="Arial Regular"/>
          <w:i/>
          <w:iCs/>
          <w:lang w:eastAsia="zh-CN"/>
        </w:rPr>
        <w:t>qPCRtools2</w:t>
      </w:r>
      <w:r>
        <w:rPr>
          <w:rFonts w:hint="default" w:ascii="Arial Regular" w:hAnsi="Arial Regular" w:cs="Arial Regular"/>
        </w:rPr>
        <w:t>, a C++/Qt6 desktop application that reimplements the analytical core of our R package behind a point-and-click interface distributed as a single executable. This Application Note makes four contributions: (i) a C++/Qt architecture in which a tested core algorithm library is decoupled from a web-based user interface; (ii) a validation demonstrating numerical equivalence to the R package across all shared quantification methods; (iii) statistical and functional extensions beyond the original R version, including non-parametric tests, normality testing, effect sizes, and reference-gene selection; and (iv) a fully reproducible validation package.</w:t>
      </w:r>
    </w:p>
    <w:bookmarkEnd w:id="0"/>
    <w:p w14:paraId="5B6B0962">
      <w:pPr>
        <w:pStyle w:val="2"/>
        <w:rPr>
          <w:rFonts w:hint="default" w:ascii="Arial Regular" w:hAnsi="Arial Regular" w:cs="Arial Regular"/>
        </w:rPr>
      </w:pPr>
      <w:bookmarkStart w:id="1" w:name="implementation"/>
      <w:r>
        <w:rPr>
          <w:rFonts w:hint="default" w:ascii="Arial Regular" w:hAnsi="Arial Regular" w:cs="Arial Regular"/>
        </w:rPr>
        <w:t>Implementation</w:t>
      </w:r>
    </w:p>
    <w:p w14:paraId="231F2E9C">
      <w:pPr>
        <w:pStyle w:val="4"/>
        <w:rPr>
          <w:rFonts w:hint="default" w:ascii="Arial Regular" w:hAnsi="Arial Regular" w:cs="Arial Regular"/>
        </w:rPr>
      </w:pPr>
      <w:bookmarkStart w:id="2" w:name="architecture"/>
      <w:r>
        <w:rPr>
          <w:rFonts w:hint="default" w:ascii="Arial Regular" w:hAnsi="Arial Regular" w:cs="Arial Regular"/>
        </w:rPr>
        <w:t>Architecture</w:t>
      </w:r>
    </w:p>
    <w:p w14:paraId="02AFC7FD">
      <w:pPr>
        <w:pStyle w:val="23"/>
        <w:rPr>
          <w:rFonts w:hint="default" w:ascii="Arial Regular" w:hAnsi="Arial Regular" w:cs="Arial Regular"/>
        </w:rPr>
      </w:pPr>
      <w:r>
        <w:rPr>
          <w:rFonts w:hint="eastAsia" w:ascii="Arial Regular" w:hAnsi="Arial Regular" w:cs="Arial Regular"/>
          <w:i/>
          <w:iCs/>
          <w:lang w:eastAsia="zh-CN"/>
        </w:rPr>
        <w:t>qPCRtools2</w:t>
      </w:r>
      <w:r>
        <w:rPr>
          <w:rFonts w:hint="default" w:ascii="Arial Regular" w:hAnsi="Arial Regular" w:cs="Arial Regular"/>
        </w:rPr>
        <w:t xml:space="preserve"> is written in C++17 and built on Qt6 (The Qt Company 2024), which provides cross-platform abstractions and the native application shell. The user interface is rendered with web technologies—Bootstrap 5.3 for layout and Apache ECharts (Apache Software Foundation 2024) for interactive charts—hosted inside a </w:t>
      </w:r>
      <w:r>
        <w:rPr>
          <w:rStyle w:val="48"/>
          <w:rFonts w:hint="default" w:ascii="Arial Regular" w:hAnsi="Arial Regular" w:cs="Arial Regular"/>
        </w:rPr>
        <w:t>QWebEngineView</w:t>
      </w:r>
      <w:r>
        <w:rPr>
          <w:rFonts w:hint="default" w:ascii="Arial Regular" w:hAnsi="Arial Regular" w:cs="Arial Regular"/>
        </w:rPr>
        <w:t xml:space="preserve">, and exchanges data with the native backend through Qt WebChannel via a registered bridge object. This separation lets the presentation layer iterate rapidly as HTML, CSS, and JavaScript while all numerical computation stays in compiled native code. The analytical core is isolated as a standalone static library, </w:t>
      </w:r>
      <w:r>
        <w:rPr>
          <w:rStyle w:val="48"/>
          <w:rFonts w:hint="default" w:ascii="Arial Regular" w:hAnsi="Arial Regular" w:cs="Arial Regular"/>
        </w:rPr>
        <w:t>qpcr_core</w:t>
      </w:r>
      <w:r>
        <w:rPr>
          <w:rFonts w:hint="default" w:ascii="Arial Regular" w:hAnsi="Arial Regular" w:cs="Arial Regular"/>
        </w:rPr>
        <w:t>, which depends only on Qt Core and Eigen and is independent of the GUI; it is exercised directly by the unit-test suite and is also linked by the command-line equivalence driver described in Results. Statistical distribution functions use the GNU Scientific Library (GSL) for accuracy. The resulting interface is shown in Figure </w:t>
      </w:r>
      <w:r>
        <w:rPr>
          <w:rFonts w:hint="default" w:ascii="Arial Regular" w:hAnsi="Arial Regular" w:cs="Arial Regular"/>
        </w:rPr>
        <w:fldChar w:fldCharType="begin"/>
      </w:r>
      <w:r>
        <w:rPr>
          <w:rFonts w:hint="default" w:ascii="Arial Regular" w:hAnsi="Arial Regular" w:cs="Arial Regular"/>
        </w:rPr>
        <w:instrText xml:space="preserve"> HYPERLINK \l "fig:overview" \h </w:instrText>
      </w:r>
      <w:r>
        <w:rPr>
          <w:rFonts w:hint="default" w:ascii="Arial Regular" w:hAnsi="Arial Regular" w:cs="Arial Regular"/>
        </w:rPr>
        <w:fldChar w:fldCharType="separate"/>
      </w:r>
      <w:r>
        <w:rPr>
          <w:rStyle w:val="20"/>
          <w:rFonts w:hint="default" w:ascii="Arial Regular" w:hAnsi="Arial Regular" w:cs="Arial Regular"/>
        </w:rPr>
        <w:t>1</w:t>
      </w:r>
      <w:r>
        <w:rPr>
          <w:rStyle w:val="20"/>
          <w:rFonts w:hint="default" w:ascii="Arial Regular" w:hAnsi="Arial Regular" w:cs="Arial Regular"/>
        </w:rPr>
        <w:fldChar w:fldCharType="end"/>
      </w:r>
      <w:r>
        <w:rPr>
          <w:rFonts w:hint="default" w:ascii="Arial Regular" w:hAnsi="Arial Regular" w:cs="Arial Regular"/>
        </w:rPr>
        <w:t>.</w:t>
      </w:r>
    </w:p>
    <w:p w14:paraId="6001755B">
      <w:pPr>
        <w:pStyle w:val="3"/>
        <w:jc w:val="center"/>
        <w:rPr>
          <w:rFonts w:hint="default" w:ascii="Arial Regular" w:hAnsi="Arial Regular" w:cs="Arial Regular"/>
        </w:rPr>
      </w:pPr>
      <w:r>
        <w:rPr>
          <w:rFonts w:hint="default" w:ascii="Arial Regular" w:hAnsi="Arial Regular" w:cs="Arial Regular"/>
        </w:rPr>
        <w:drawing>
          <wp:inline distT="0" distB="0" distL="114300" distR="114300">
            <wp:extent cx="5478145" cy="3543935"/>
            <wp:effectExtent l="0" t="0" r="825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478145" cy="3543935"/>
                    </a:xfrm>
                    <a:prstGeom prst="rect">
                      <a:avLst/>
                    </a:prstGeom>
                    <a:noFill/>
                    <a:ln>
                      <a:noFill/>
                    </a:ln>
                  </pic:spPr>
                </pic:pic>
              </a:graphicData>
            </a:graphic>
          </wp:inline>
        </w:drawing>
      </w:r>
    </w:p>
    <w:p w14:paraId="6B254B08">
      <w:pPr>
        <w:pStyle w:val="45"/>
        <w:rPr>
          <w:rFonts w:hint="default" w:ascii="Arial Regular" w:hAnsi="Arial Regular" w:cs="Arial Regular"/>
        </w:rPr>
      </w:pPr>
      <w:bookmarkStart w:id="3" w:name="fig:overview"/>
      <w:r>
        <w:rPr>
          <w:rFonts w:hint="default" w:ascii="Arial Regular" w:hAnsi="Arial Regular" w:cs="Arial Regular"/>
        </w:rPr>
        <w:t xml:space="preserve">The </w:t>
      </w:r>
      <w:r>
        <w:rPr>
          <w:rFonts w:hint="eastAsia" w:ascii="Arial Regular" w:hAnsi="Arial Regular" w:cs="Arial Regular"/>
          <w:lang w:eastAsia="zh-CN"/>
        </w:rPr>
        <w:t>qPCRtools2</w:t>
      </w:r>
      <w:r>
        <w:rPr>
          <w:rFonts w:hint="default" w:ascii="Arial Regular" w:hAnsi="Arial Regular" w:cs="Arial Regular"/>
        </w:rPr>
        <w:t xml:space="preserve"> desktop interface. A single cross-platform window hosts the web-based UI for data import, method and statistics configuration, and interactive results; no programming or runtime dependencies are required.</w:t>
      </w:r>
    </w:p>
    <w:bookmarkEnd w:id="2"/>
    <w:bookmarkEnd w:id="3"/>
    <w:p w14:paraId="61B54446">
      <w:pPr>
        <w:pStyle w:val="4"/>
        <w:rPr>
          <w:rFonts w:hint="default" w:ascii="Arial Regular" w:hAnsi="Arial Regular" w:cs="Arial Regular"/>
        </w:rPr>
      </w:pPr>
      <w:bookmarkStart w:id="4" w:name="quantification-algorithms"/>
      <w:r>
        <w:rPr>
          <w:rFonts w:hint="default" w:ascii="Arial Regular" w:hAnsi="Arial Regular" w:cs="Arial Regular"/>
        </w:rPr>
        <w:t>Quantification algorithms</w:t>
      </w:r>
    </w:p>
    <w:p w14:paraId="4B377EE5">
      <w:pPr>
        <w:pStyle w:val="23"/>
        <w:rPr>
          <w:rFonts w:hint="default" w:ascii="Arial Regular" w:hAnsi="Arial Regular" w:cs="Arial Regular"/>
        </w:rPr>
      </w:pPr>
      <w:r>
        <w:rPr>
          <w:rFonts w:hint="default" w:ascii="Arial Regular" w:hAnsi="Arial Regular" w:cs="Arial Regular"/>
        </w:rPr>
        <w:t xml:space="preserve">The core reimplements the analytical methods of the R package. From a dilution series, amplification efficiency is obtained by ordinary least squares of </w:t>
      </w:r>
      <m:oMath>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ctrlPr>
              <w:rPr>
                <w:rFonts w:hint="default" w:ascii="DejaVu Math TeX Gyre" w:hAnsi="DejaVu Math TeX Gyre" w:cs="Arial Regular"/>
              </w:rPr>
            </m:ctrlPr>
          </m:sub>
        </m:sSub>
      </m:oMath>
      <w:r>
        <w:rPr>
          <w:rFonts w:hint="default" w:ascii="Arial Regular" w:hAnsi="Arial Regular" w:cs="Arial Regular"/>
        </w:rPr>
        <w:t xml:space="preserve"> on </w:t>
      </w:r>
      <m:oMath>
        <m:sSub>
          <m:sSubPr>
            <m:ctrlPr>
              <w:rPr>
                <w:rFonts w:hint="default" w:ascii="DejaVu Math TeX Gyre" w:hAnsi="DejaVu Math TeX Gyre" w:cs="Arial Regular"/>
              </w:rPr>
            </m:ctrlPr>
          </m:sSubPr>
          <m:e>
            <m:r>
              <m:rPr>
                <m:sty m:val="p"/>
              </m:rPr>
              <w:rPr>
                <w:rFonts w:hint="default" w:ascii="DejaVu Math TeX Gyre" w:hAnsi="DejaVu Math TeX Gyre" w:cs="Arial Regular"/>
              </w:rPr>
              <m:t>log</m:t>
            </m:r>
            <m:ctrlPr>
              <w:rPr>
                <w:rFonts w:hint="default" w:ascii="DejaVu Math TeX Gyre" w:hAnsi="DejaVu Math TeX Gyre" w:cs="Arial Regular"/>
              </w:rPr>
            </m:ctrlPr>
          </m:e>
          <m:sub>
            <m:r>
              <m:rPr/>
              <w:rPr>
                <w:rFonts w:hint="default" w:ascii="DejaVu Math TeX Gyre" w:hAnsi="DejaVu Math TeX Gyre" w:cs="Arial Regular"/>
              </w:rPr>
              <m:t>10</m:t>
            </m:r>
            <m:ctrlPr>
              <w:rPr>
                <w:rFonts w:hint="default" w:ascii="DejaVu Math TeX Gyre" w:hAnsi="DejaVu Math TeX Gyre" w:cs="Arial Regular"/>
              </w:rPr>
            </m:ctrlPr>
          </m:sub>
        </m:sSub>
        <m:r>
          <m:rPr>
            <m:sty m:val="p"/>
          </m:rPr>
          <w:rPr>
            <w:rFonts w:hint="default" w:ascii="DejaVu Math TeX Gyre" w:hAnsi="DejaVu Math TeX Gyre" w:cs="Arial Regular"/>
          </w:rPr>
          <m:t>(</m:t>
        </m:r>
        <m:r>
          <m:rPr>
            <m:nor/>
            <m:sty m:val="p"/>
          </m:rPr>
          <w:rPr>
            <w:rFonts w:hint="default" w:ascii="DejaVu Math TeX Gyre" w:hAnsi="DejaVu Math TeX Gyre" w:cs="Arial Regular"/>
          </w:rPr>
          <m:t>concentration</m:t>
        </m:r>
        <m:r>
          <m:rPr>
            <m:sty m:val="p"/>
          </m:rPr>
          <w:rPr>
            <w:rFonts w:hint="default" w:ascii="DejaVu Math TeX Gyre" w:hAnsi="DejaVu Math TeX Gyre" w:cs="Arial Regular"/>
          </w:rPr>
          <m:t>)</m:t>
        </m:r>
      </m:oMath>
      <w:r>
        <w:rPr>
          <w:rFonts w:hint="default" w:ascii="Arial Regular" w:hAnsi="Arial Regular" w:cs="Arial Regular"/>
        </w:rPr>
        <w:t xml:space="preserve">, yielding slope </w:t>
      </w:r>
      <m:oMath>
        <m:r>
          <m:rPr/>
          <w:rPr>
            <w:rFonts w:hint="default" w:ascii="DejaVu Math TeX Gyre" w:hAnsi="DejaVu Math TeX Gyre" w:cs="Arial Regular"/>
          </w:rPr>
          <m:t>s</m:t>
        </m:r>
      </m:oMath>
      <w:r>
        <w:rPr>
          <w:rFonts w:hint="default" w:ascii="Arial Regular" w:hAnsi="Arial Regular" w:cs="Arial Regular"/>
        </w:rPr>
        <w:t xml:space="preserve">, intercept, </w:t>
      </w:r>
      <m:oMath>
        <m:sSup>
          <m:sSupPr>
            <m:ctrlPr>
              <w:rPr>
                <w:rFonts w:hint="default" w:ascii="DejaVu Math TeX Gyre" w:hAnsi="DejaVu Math TeX Gyre" w:cs="Arial Regular"/>
              </w:rPr>
            </m:ctrlPr>
          </m:sSupPr>
          <m:e>
            <m:r>
              <m:rPr/>
              <w:rPr>
                <w:rFonts w:hint="default" w:ascii="DejaVu Math TeX Gyre" w:hAnsi="DejaVu Math TeX Gyre" w:cs="Arial Regular"/>
              </w:rPr>
              <m:t>R</m:t>
            </m:r>
            <m:ctrlPr>
              <w:rPr>
                <w:rFonts w:hint="default" w:ascii="DejaVu Math TeX Gyre" w:hAnsi="DejaVu Math TeX Gyre" w:cs="Arial Regular"/>
              </w:rPr>
            </m:ctrlPr>
          </m:e>
          <m:sup>
            <m:r>
              <m:rPr/>
              <w:rPr>
                <w:rFonts w:hint="default" w:ascii="DejaVu Math TeX Gyre" w:hAnsi="DejaVu Math TeX Gyre" w:cs="Arial Regular"/>
              </w:rPr>
              <m:t>2</m:t>
            </m:r>
            <m:ctrlPr>
              <w:rPr>
                <w:rFonts w:hint="default" w:ascii="DejaVu Math TeX Gyre" w:hAnsi="DejaVu Math TeX Gyre" w:cs="Arial Regular"/>
              </w:rPr>
            </m:ctrlPr>
          </m:sup>
        </m:sSup>
      </m:oMath>
      <w:r>
        <w:rPr>
          <w:rFonts w:hint="default" w:ascii="Arial Regular" w:hAnsi="Arial Regular" w:cs="Arial Regular"/>
        </w:rPr>
        <w:t xml:space="preserve">, and a regression </w:t>
      </w:r>
      <m:oMath>
        <m:r>
          <m:rPr/>
          <w:rPr>
            <w:rFonts w:hint="default" w:ascii="DejaVu Math TeX Gyre" w:hAnsi="DejaVu Math TeX Gyre" w:cs="Arial Regular"/>
          </w:rPr>
          <m:t>p</m:t>
        </m:r>
      </m:oMath>
      <w:r>
        <w:rPr>
          <w:rFonts w:hint="default" w:ascii="Arial Regular" w:hAnsi="Arial Regular" w:cs="Arial Regular"/>
        </w:rPr>
        <w:t>-value; efficiency is</w:t>
      </w:r>
    </w:p>
    <w:p w14:paraId="6951BE87">
      <w:pPr>
        <w:pStyle w:val="3"/>
        <w:rPr>
          <w:rFonts w:hint="default" w:ascii="Arial Regular" w:hAnsi="Arial Regular" w:cs="Arial Regular"/>
        </w:rPr>
      </w:pPr>
      <m:oMathPara>
        <m:oMathParaPr>
          <m:jc m:val="center"/>
        </m:oMathParaPr>
        <m:oMath>
          <m:r>
            <m:rPr/>
            <w:rPr>
              <w:rFonts w:hint="default" w:ascii="DejaVu Math TeX Gyre" w:hAnsi="DejaVu Math TeX Gyre" w:cs="Arial Regular"/>
            </w:rPr>
            <m:t>E</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d</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1</m:t>
              </m:r>
              <m:r>
                <m:rPr>
                  <m:sty m:val="p"/>
                </m:rPr>
                <w:rPr>
                  <w:rFonts w:hint="default" w:ascii="DejaVu Math TeX Gyre" w:hAnsi="DejaVu Math TeX Gyre" w:cs="Arial Regular"/>
                </w:rPr>
                <m:t>/</m:t>
              </m:r>
              <m:r>
                <m:rPr/>
                <w:rPr>
                  <w:rFonts w:hint="default" w:ascii="DejaVu Math TeX Gyre" w:hAnsi="DejaVu Math TeX Gyre" w:cs="Arial Regular"/>
                </w:rPr>
                <m:t>s</m:t>
              </m:r>
              <m:ctrlPr>
                <w:rPr>
                  <w:rFonts w:hint="default" w:ascii="DejaVu Math TeX Gyre" w:hAnsi="DejaVu Math TeX Gyre" w:cs="Arial Regular"/>
                </w:rPr>
              </m:ctrlPr>
            </m:sup>
          </m:sSup>
          <m:r>
            <m:rPr>
              <m:sty m:val="p"/>
            </m:rPr>
            <w:rPr>
              <w:rFonts w:hint="default" w:ascii="DejaVu Math TeX Gyre" w:hAnsi="DejaVu Math TeX Gyre" w:cs="Arial Regular"/>
            </w:rPr>
            <m:t>−</m:t>
          </m:r>
          <m:r>
            <m:rPr/>
            <w:rPr>
              <w:rFonts w:hint="default" w:ascii="DejaVu Math TeX Gyre" w:hAnsi="DejaVu Math TeX Gyre" w:cs="Arial Regular"/>
            </w:rPr>
            <m:t>1</m:t>
          </m:r>
          <m:r>
            <m:rPr>
              <m:sty m:val="p"/>
            </m:rPr>
            <w:rPr>
              <w:rFonts w:hint="default" w:ascii="DejaVu Math TeX Gyre" w:hAnsi="DejaVu Math TeX Gyre" w:cs="Arial Regular"/>
            </w:rPr>
            <m:t>,</m:t>
          </m:r>
        </m:oMath>
      </m:oMathPara>
    </w:p>
    <w:p w14:paraId="348D1B2D">
      <w:pPr>
        <w:pStyle w:val="23"/>
        <w:rPr>
          <w:rFonts w:hint="default" w:ascii="Arial Regular" w:hAnsi="Arial Regular" w:cs="Arial Regular"/>
        </w:rPr>
      </w:pPr>
      <w:r>
        <w:rPr>
          <w:rFonts w:hint="default" w:ascii="Arial Regular" w:hAnsi="Arial Regular" w:cs="Arial Regular"/>
        </w:rPr>
        <w:t xml:space="preserve">where </w:t>
      </w:r>
      <m:oMath>
        <m:r>
          <m:rPr/>
          <w:rPr>
            <w:rFonts w:hint="default" w:ascii="DejaVu Math TeX Gyre" w:hAnsi="DejaVu Math TeX Gyre" w:cs="Arial Regular"/>
          </w:rPr>
          <m:t>d</m:t>
        </m:r>
      </m:oMath>
      <w:r>
        <w:rPr>
          <w:rFonts w:hint="default" w:ascii="Arial Regular" w:hAnsi="Arial Regular" w:cs="Arial Regular"/>
        </w:rPr>
        <w:t xml:space="preserve"> is the dilution factor. Relative expression is computed by the </w:t>
      </w:r>
      <m:oMath>
        <m:r>
          <m:rPr>
            <m:sty m:val="p"/>
          </m:rPr>
          <w:rPr>
            <w:rFonts w:hint="default" w:ascii="DejaVu Math TeX Gyre" w:hAnsi="DejaVu Math TeX Gyre" w:cs="Arial Regular"/>
          </w:rPr>
          <m:t>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and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methods (Livak and Schmittgen 2001),</w:t>
      </w:r>
    </w:p>
    <w:p w14:paraId="253DC92C">
      <w:pPr>
        <w:pStyle w:val="3"/>
        <w:rPr>
          <w:rFonts w:hint="default" w:ascii="Arial Regular" w:hAnsi="Arial Regular" w:cs="Arial Regular"/>
        </w:rPr>
      </w:pPr>
      <m:oMathPara>
        <m:oMathParaPr>
          <m:jc m:val="center"/>
        </m:oMathParaPr>
        <m:oMath>
          <m:r>
            <m:rPr>
              <m:sty m:val="p"/>
            </m:rPr>
            <w:rPr>
              <w:rFonts w:hint="default" w:ascii="DejaVu Math TeX Gyre" w:hAnsi="DejaVu Math TeX Gyre" w:cs="Arial Regular"/>
            </w:rPr>
            <m:t>RE=</m:t>
          </m:r>
          <m:sSup>
            <m:sSupPr>
              <m:ctrlPr>
                <w:rPr>
                  <w:rFonts w:hint="default" w:ascii="DejaVu Math TeX Gyre" w:hAnsi="DejaVu Math TeX Gyre" w:cs="Arial Regular"/>
                </w:rPr>
              </m:ctrlPr>
            </m:sSupPr>
            <m:e>
              <m:r>
                <m:rPr/>
                <w:rPr>
                  <w:rFonts w:hint="default" w:ascii="DejaVu Math TeX Gyre" w:hAnsi="DejaVu Math TeX Gyre" w:cs="Arial Regular"/>
                </w:rPr>
                <m:t>2</m:t>
              </m:r>
              <m:ctrlPr>
                <w:rPr>
                  <w:rFonts w:hint="default" w:ascii="DejaVu Math TeX Gyre" w:hAnsi="DejaVu Math TeX Gyre" w:cs="Arial Regular"/>
                </w:rPr>
              </m:ctrlPr>
            </m:e>
            <m:sup>
              <m:r>
                <m:rPr>
                  <m:sty m:val="p"/>
                </m:rPr>
                <w:rPr>
                  <w:rFonts w:hint="default" w:ascii="DejaVu Math TeX Gyre" w:hAnsi="DejaVu Math TeX Gyre" w:cs="Arial Regular"/>
                </w:rPr>
                <m:t>−</m:t>
              </m:r>
              <m:d>
                <m:dPr>
                  <m:begChr m:val="["/>
                  <m:sepChr m:val=""/>
                  <m:endChr m:val="]"/>
                  <m:ctrlPr>
                    <w:rPr>
                      <w:rFonts w:hint="default" w:ascii="DejaVu Math TeX Gyre" w:hAnsi="DejaVu Math TeX Gyre" w:cs="Arial Regular"/>
                    </w:rPr>
                  </m:ctrlPr>
                </m:dPr>
                <m:e>
                  <m:r>
                    <m:rPr>
                      <m:sty m:val="p"/>
                    </m:rPr>
                    <w:rPr>
                      <w:rFonts w:hint="default" w:ascii="DejaVu Math TeX Gyre" w:hAnsi="DejaVu Math TeX Gyre" w:cs="Arial Regular"/>
                    </w:rPr>
                    <m:t>(</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r>
                        <m:rPr>
                          <m:sty m:val="p"/>
                        </m:rPr>
                        <w:rPr>
                          <w:rFonts w:hint="default" w:ascii="DejaVu Math TeX Gyre" w:hAnsi="DejaVu Math TeX Gyre" w:cs="Arial Regular"/>
                        </w:rPr>
                        <m:t>,target</m:t>
                      </m:r>
                      <m:ctrlPr>
                        <w:rPr>
                          <w:rFonts w:hint="default" w:ascii="DejaVu Math TeX Gyre" w:hAnsi="DejaVu Math TeX Gyre" w:cs="Arial Regular"/>
                        </w:rPr>
                      </m:ctrlPr>
                    </m:sub>
                  </m:sSub>
                  <m:r>
                    <m:rPr>
                      <m:sty m:val="p"/>
                    </m:rPr>
                    <w:rPr>
                      <w:rFonts w:hint="default" w:ascii="DejaVu Math TeX Gyre" w:hAnsi="DejaVu Math TeX Gyre" w:cs="Arial Regular"/>
                    </w:rPr>
                    <m:t>−</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r>
                        <m:rPr>
                          <m:sty m:val="p"/>
                        </m:rPr>
                        <w:rPr>
                          <w:rFonts w:hint="default" w:ascii="DejaVu Math TeX Gyre" w:hAnsi="DejaVu Math TeX Gyre" w:cs="Arial Regular"/>
                        </w:rPr>
                        <m:t>,ref</m:t>
                      </m:r>
                      <m:ctrlPr>
                        <w:rPr>
                          <w:rFonts w:hint="default" w:ascii="DejaVu Math TeX Gyre" w:hAnsi="DejaVu Math TeX Gyre" w:cs="Arial Regular"/>
                        </w:rPr>
                      </m:ctrlPr>
                    </m:sub>
                  </m:sSub>
                  <m:sSub>
                    <m:sSubPr>
                      <m:ctrlPr>
                        <w:rPr>
                          <w:rFonts w:hint="default" w:ascii="DejaVu Math TeX Gyre" w:hAnsi="DejaVu Math TeX Gyre" w:cs="Arial Regular"/>
                        </w:rPr>
                      </m:ctrlPr>
                    </m:sSubPr>
                    <m:e>
                      <m:r>
                        <m:rPr>
                          <m:sty m:val="p"/>
                        </m:rPr>
                        <w:rPr>
                          <w:rFonts w:hint="default" w:ascii="DejaVu Math TeX Gyre" w:hAnsi="DejaVu Math TeX Gyre" w:cs="Arial Regular"/>
                        </w:rPr>
                        <m:t>)</m:t>
                      </m:r>
                      <m:ctrlPr>
                        <w:rPr>
                          <w:rFonts w:hint="default" w:ascii="DejaVu Math TeX Gyre" w:hAnsi="DejaVu Math TeX Gyre" w:cs="Arial Regular"/>
                        </w:rPr>
                      </m:ctrlPr>
                    </m:e>
                    <m:sub>
                      <m:r>
                        <m:rPr>
                          <m:sty m:val="p"/>
                        </m:rPr>
                        <w:rPr>
                          <w:rFonts w:hint="default" w:ascii="DejaVu Math TeX Gyre" w:hAnsi="DejaVu Math TeX Gyre" w:cs="Arial Regular"/>
                        </w:rPr>
                        <m:t>treated</m:t>
                      </m:r>
                      <m:ctrlPr>
                        <w:rPr>
                          <w:rFonts w:hint="default" w:ascii="DejaVu Math TeX Gyre" w:hAnsi="DejaVu Math TeX Gyre" w:cs="Arial Regular"/>
                        </w:rPr>
                      </m:ctrlPr>
                    </m:sub>
                  </m:sSub>
                  <m:r>
                    <m:rPr>
                      <m:sty m:val="p"/>
                    </m:rPr>
                    <w:rPr>
                      <w:rFonts w:hint="default" w:ascii="DejaVu Math TeX Gyre" w:hAnsi="DejaVu Math TeX Gyre" w:cs="Arial Regular"/>
                    </w:rPr>
                    <m:t>−(</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r>
                        <m:rPr>
                          <m:sty m:val="p"/>
                        </m:rPr>
                        <w:rPr>
                          <w:rFonts w:hint="default" w:ascii="DejaVu Math TeX Gyre" w:hAnsi="DejaVu Math TeX Gyre" w:cs="Arial Regular"/>
                        </w:rPr>
                        <m:t>,target</m:t>
                      </m:r>
                      <m:ctrlPr>
                        <w:rPr>
                          <w:rFonts w:hint="default" w:ascii="DejaVu Math TeX Gyre" w:hAnsi="DejaVu Math TeX Gyre" w:cs="Arial Regular"/>
                        </w:rPr>
                      </m:ctrlPr>
                    </m:sub>
                  </m:sSub>
                  <m:r>
                    <m:rPr>
                      <m:sty m:val="p"/>
                    </m:rPr>
                    <w:rPr>
                      <w:rFonts w:hint="default" w:ascii="DejaVu Math TeX Gyre" w:hAnsi="DejaVu Math TeX Gyre" w:cs="Arial Regular"/>
                    </w:rPr>
                    <m:t>−</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r>
                        <m:rPr>
                          <m:sty m:val="p"/>
                        </m:rPr>
                        <w:rPr>
                          <w:rFonts w:hint="default" w:ascii="DejaVu Math TeX Gyre" w:hAnsi="DejaVu Math TeX Gyre" w:cs="Arial Regular"/>
                        </w:rPr>
                        <m:t>,ref</m:t>
                      </m:r>
                      <m:ctrlPr>
                        <w:rPr>
                          <w:rFonts w:hint="default" w:ascii="DejaVu Math TeX Gyre" w:hAnsi="DejaVu Math TeX Gyre" w:cs="Arial Regular"/>
                        </w:rPr>
                      </m:ctrlPr>
                    </m:sub>
                  </m:sSub>
                  <m:sSub>
                    <m:sSubPr>
                      <m:ctrlPr>
                        <w:rPr>
                          <w:rFonts w:hint="default" w:ascii="DejaVu Math TeX Gyre" w:hAnsi="DejaVu Math TeX Gyre" w:cs="Arial Regular"/>
                        </w:rPr>
                      </m:ctrlPr>
                    </m:sSubPr>
                    <m:e>
                      <m:r>
                        <m:rPr>
                          <m:sty m:val="p"/>
                        </m:rPr>
                        <w:rPr>
                          <w:rFonts w:hint="default" w:ascii="DejaVu Math TeX Gyre" w:hAnsi="DejaVu Math TeX Gyre" w:cs="Arial Regular"/>
                        </w:rPr>
                        <m:t>)</m:t>
                      </m:r>
                      <m:ctrlPr>
                        <w:rPr>
                          <w:rFonts w:hint="default" w:ascii="DejaVu Math TeX Gyre" w:hAnsi="DejaVu Math TeX Gyre" w:cs="Arial Regular"/>
                        </w:rPr>
                      </m:ctrlPr>
                    </m:e>
                    <m:sub>
                      <m:r>
                        <m:rPr>
                          <m:sty m:val="p"/>
                        </m:rPr>
                        <w:rPr>
                          <w:rFonts w:hint="default" w:ascii="DejaVu Math TeX Gyre" w:hAnsi="DejaVu Math TeX Gyre" w:cs="Arial Regular"/>
                        </w:rPr>
                        <m:t>control</m:t>
                      </m:r>
                      <m:ctrlPr>
                        <w:rPr>
                          <w:rFonts w:hint="default" w:ascii="DejaVu Math TeX Gyre" w:hAnsi="DejaVu Math TeX Gyre" w:cs="Arial Regular"/>
                        </w:rPr>
                      </m:ctrlPr>
                    </m:sub>
                  </m:sSub>
                  <m:ctrlPr>
                    <w:rPr>
                      <w:rFonts w:hint="default" w:ascii="DejaVu Math TeX Gyre" w:hAnsi="DejaVu Math TeX Gyre" w:cs="Arial Regular"/>
                    </w:rPr>
                  </m:ctrlPr>
                </m:e>
              </m:d>
              <m:ctrlPr>
                <w:rPr>
                  <w:rFonts w:hint="default" w:ascii="DejaVu Math TeX Gyre" w:hAnsi="DejaVu Math TeX Gyre" w:cs="Arial Regular"/>
                </w:rPr>
              </m:ctrlPr>
            </m:sup>
          </m:sSup>
          <m:r>
            <m:rPr>
              <m:sty m:val="p"/>
            </m:rPr>
            <w:rPr>
              <w:rFonts w:hint="default" w:ascii="DejaVu Math TeX Gyre" w:hAnsi="DejaVu Math TeX Gyre" w:cs="Arial Regular"/>
            </w:rPr>
            <m:t>,</m:t>
          </m:r>
        </m:oMath>
      </m:oMathPara>
    </w:p>
    <w:p w14:paraId="1829D88B">
      <w:pPr>
        <w:pStyle w:val="23"/>
        <w:rPr>
          <w:rFonts w:hint="default" w:ascii="Arial Regular" w:hAnsi="Arial Regular" w:cs="Arial Regular"/>
        </w:rPr>
      </w:pPr>
      <w:r>
        <w:rPr>
          <w:rFonts w:hint="default" w:ascii="Arial Regular" w:hAnsi="Arial Regular" w:cs="Arial Regular"/>
        </w:rPr>
        <w:t xml:space="preserve">and by an efficiency-based (RqPCR) method (Rancurel et al. 2019) in which per-sample quantities are </w:t>
      </w:r>
      <m:oMath>
        <m:sSup>
          <m:sSupPr>
            <m:ctrlPr>
              <w:rPr>
                <w:rFonts w:hint="default" w:ascii="DejaVu Math TeX Gyre" w:hAnsi="DejaVu Math TeX Gyre" w:cs="Arial Regular"/>
              </w:rPr>
            </m:ctrlPr>
          </m:sSupPr>
          <m:e>
            <m:r>
              <m:rPr/>
              <w:rPr>
                <w:rFonts w:hint="default" w:ascii="DejaVu Math TeX Gyre" w:hAnsi="DejaVu Math TeX Gyre" w:cs="Arial Regular"/>
              </w:rPr>
              <m:t>E</m:t>
            </m:r>
            <m:ctrlPr>
              <w:rPr>
                <w:rFonts w:hint="default" w:ascii="DejaVu Math TeX Gyre" w:hAnsi="DejaVu Math TeX Gyre" w:cs="Arial Regular"/>
              </w:rPr>
            </m:ctrlPr>
          </m:e>
          <m:sup>
            <m:r>
              <m:rPr/>
              <w:rPr>
                <w:rFonts w:hint="default" w:ascii="DejaVu Math TeX Gyre" w:hAnsi="DejaVu Math TeX Gyre" w:cs="Arial Regular"/>
              </w:rPr>
              <m:t> </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r>
                  <m:rPr>
                    <m:sty m:val="p"/>
                  </m:rPr>
                  <w:rPr>
                    <w:rFonts w:hint="default" w:ascii="DejaVu Math TeX Gyre" w:hAnsi="DejaVu Math TeX Gyre" w:cs="Arial Regular"/>
                  </w:rPr>
                  <m:t>,min</m:t>
                </m:r>
                <m:ctrlPr>
                  <w:rPr>
                    <w:rFonts w:hint="default" w:ascii="DejaVu Math TeX Gyre" w:hAnsi="DejaVu Math TeX Gyre" w:cs="Arial Regular"/>
                  </w:rPr>
                </m:ctrlPr>
              </m:sub>
            </m:sSub>
            <m:r>
              <m:rPr>
                <m:sty m:val="p"/>
              </m:rPr>
              <w:rPr>
                <w:rFonts w:hint="default" w:ascii="DejaVu Math TeX Gyre" w:hAnsi="DejaVu Math TeX Gyre" w:cs="Arial Regular"/>
              </w:rPr>
              <m:t>−</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ctrlPr>
                  <w:rPr>
                    <w:rFonts w:hint="default" w:ascii="DejaVu Math TeX Gyre" w:hAnsi="DejaVu Math TeX Gyre" w:cs="Arial Regular"/>
                  </w:rPr>
                </m:ctrlPr>
              </m:sub>
            </m:sSub>
            <m:ctrlPr>
              <w:rPr>
                <w:rFonts w:hint="default" w:ascii="DejaVu Math TeX Gyre" w:hAnsi="DejaVu Math TeX Gyre" w:cs="Arial Regular"/>
              </w:rPr>
            </m:ctrlPr>
          </m:sup>
        </m:sSup>
      </m:oMath>
      <w:r>
        <w:rPr>
          <w:rFonts w:hint="default" w:ascii="Arial Regular" w:hAnsi="Arial Regular" w:cs="Arial Regular"/>
        </w:rPr>
        <w:t xml:space="preserve"> and are normalized by the geometric mean of one or more reference genes (Pfaffl 2001).</w:t>
      </w:r>
    </w:p>
    <w:bookmarkEnd w:id="4"/>
    <w:p w14:paraId="3DA47C99">
      <w:pPr>
        <w:pStyle w:val="4"/>
        <w:rPr>
          <w:rFonts w:hint="default" w:ascii="Arial Regular" w:hAnsi="Arial Regular" w:cs="Arial Regular"/>
        </w:rPr>
      </w:pPr>
      <w:bookmarkStart w:id="5" w:name="statistical-analysis"/>
      <w:r>
        <w:rPr>
          <w:rFonts w:hint="default" w:ascii="Arial Regular" w:hAnsi="Arial Regular" w:cs="Arial Regular"/>
        </w:rPr>
        <w:t>Statistical analysis</w:t>
      </w:r>
    </w:p>
    <w:p w14:paraId="56828D25">
      <w:pPr>
        <w:pStyle w:val="23"/>
        <w:rPr>
          <w:rFonts w:hint="default" w:ascii="Arial Regular" w:hAnsi="Arial Regular" w:cs="Arial Regular"/>
        </w:rPr>
      </w:pPr>
      <w:r>
        <w:rPr>
          <w:rFonts w:hint="default" w:ascii="Arial Regular" w:hAnsi="Arial Regular" w:cs="Arial Regular"/>
        </w:rPr>
        <w:t xml:space="preserve">For each target gene the application compares groups with independent, paired, or Welch two-sample </w:t>
      </w:r>
      <m:oMath>
        <m:r>
          <m:rPr/>
          <w:rPr>
            <w:rFonts w:hint="default" w:ascii="DejaVu Math TeX Gyre" w:hAnsi="DejaVu Math TeX Gyre" w:cs="Arial Regular"/>
          </w:rPr>
          <m:t>t</m:t>
        </m:r>
      </m:oMath>
      <w:r>
        <w:rPr>
          <w:rFonts w:hint="default" w:ascii="Arial Regular" w:hAnsi="Arial Regular" w:cs="Arial Regular"/>
        </w:rPr>
        <w:t xml:space="preserve">-tests, the Wilcoxon rank-sum or signed-rank test, or one-way ANOVA followed by Tukey’s HSD post-hoc letter grouping. It additionally reports Cohen’s </w:t>
      </w:r>
      <m:oMath>
        <m:r>
          <m:rPr/>
          <w:rPr>
            <w:rFonts w:hint="default" w:ascii="DejaVu Math TeX Gyre" w:hAnsi="DejaVu Math TeX Gyre" w:cs="Arial Regular"/>
          </w:rPr>
          <m:t>d</m:t>
        </m:r>
      </m:oMath>
      <w:r>
        <w:rPr>
          <w:rFonts w:hint="default" w:ascii="Arial Regular" w:hAnsi="Arial Regular" w:cs="Arial Regular"/>
        </w:rPr>
        <w:t xml:space="preserve"> effect sizes, Shapiro–Wilk normality testing, and IQR-based outlier removal, and can select reference genes automatically by the geNorm algorithm (Vandesompele et al. 2002). These options extend the original R package, which provided </w:t>
      </w:r>
      <m:oMath>
        <m:r>
          <m:rPr/>
          <w:rPr>
            <w:rFonts w:hint="default" w:ascii="DejaVu Math TeX Gyre" w:hAnsi="DejaVu Math TeX Gyre" w:cs="Arial Regular"/>
          </w:rPr>
          <m:t>t</m:t>
        </m:r>
      </m:oMath>
      <w:r>
        <w:rPr>
          <w:rFonts w:hint="default" w:ascii="Arial Regular" w:hAnsi="Arial Regular" w:cs="Arial Regular"/>
        </w:rPr>
        <w:t>-test and ANOVA/Tukey testing only.</w:t>
      </w:r>
    </w:p>
    <w:bookmarkEnd w:id="5"/>
    <w:p w14:paraId="17EC7233">
      <w:pPr>
        <w:pStyle w:val="4"/>
        <w:rPr>
          <w:rFonts w:hint="default" w:ascii="Arial Regular" w:hAnsi="Arial Regular" w:cs="Arial Regular"/>
        </w:rPr>
      </w:pPr>
      <w:bookmarkStart w:id="6" w:name="software-engineering-and-scope"/>
      <w:r>
        <w:rPr>
          <w:rFonts w:hint="default" w:ascii="Arial Regular" w:hAnsi="Arial Regular" w:cs="Arial Regular"/>
        </w:rPr>
        <w:t>Software engineering and scope</w:t>
      </w:r>
    </w:p>
    <w:p w14:paraId="420D56C1">
      <w:pPr>
        <w:pStyle w:val="23"/>
        <w:rPr>
          <w:rFonts w:hint="default" w:ascii="Arial Regular" w:hAnsi="Arial Regular" w:cs="Arial Regular"/>
        </w:rPr>
      </w:pPr>
      <w:r>
        <w:rPr>
          <w:rFonts w:hint="eastAsia" w:ascii="Arial Regular" w:hAnsi="Arial Regular" w:cs="Arial Regular"/>
          <w:i/>
          <w:iCs/>
          <w:lang w:eastAsia="zh-CN"/>
        </w:rPr>
        <w:t>qPCRtools2</w:t>
      </w:r>
      <w:r>
        <w:rPr>
          <w:rFonts w:hint="default" w:ascii="Arial Regular" w:hAnsi="Arial Regular" w:cs="Arial Regular"/>
        </w:rPr>
        <w:t xml:space="preserve"> is managed with CMake and ships with a unit-test suite. Visualization follows a ggplot2-inspired aesthetic (Wickham 2016) with configurable color palettes and significance annotations; the interface is bilingual (Chinese/English) and accepts both CSV and Excel input. The application is distributed as a single self-contained executable for Windows and macOS, requiring no R, Python, or runtime installation, and the source compiles on Linux. It is released under the MIT license. Two R functions are not yet ported—the standard-curve slope–intercept quantification (</w:t>
      </w:r>
      <w:r>
        <w:rPr>
          <w:rStyle w:val="48"/>
          <w:rFonts w:hint="default" w:ascii="Arial Regular" w:hAnsi="Arial Regular" w:cs="Arial Regular"/>
        </w:rPr>
        <w:t>CalExpCurve</w:t>
      </w:r>
      <w:r>
        <w:rPr>
          <w:rFonts w:hint="default" w:ascii="Arial Regular" w:hAnsi="Arial Regular" w:cs="Arial Regular"/>
        </w:rPr>
        <w:t>) and the reverse-transcription reagent volume calculation (</w:t>
      </w:r>
      <w:r>
        <w:rPr>
          <w:rStyle w:val="48"/>
          <w:rFonts w:hint="default" w:ascii="Arial Regular" w:hAnsi="Arial Regular" w:cs="Arial Regular"/>
        </w:rPr>
        <w:t>CalRTable</w:t>
      </w:r>
      <w:r>
        <w:rPr>
          <w:rFonts w:hint="default" w:ascii="Arial Regular" w:hAnsi="Arial Regular" w:cs="Arial Regular"/>
        </w:rPr>
        <w:t>)—and are planned for a future release.</w:t>
      </w:r>
    </w:p>
    <w:bookmarkEnd w:id="1"/>
    <w:bookmarkEnd w:id="6"/>
    <w:p w14:paraId="641C418E">
      <w:pPr>
        <w:pStyle w:val="2"/>
        <w:rPr>
          <w:rFonts w:hint="default" w:ascii="Arial Regular" w:hAnsi="Arial Regular" w:cs="Arial Regular"/>
        </w:rPr>
      </w:pPr>
      <w:bookmarkStart w:id="7" w:name="results"/>
      <w:r>
        <w:rPr>
          <w:rFonts w:hint="default" w:ascii="Arial Regular" w:hAnsi="Arial Regular" w:cs="Arial Regular"/>
        </w:rPr>
        <w:t>Results</w:t>
      </w:r>
    </w:p>
    <w:p w14:paraId="3927D693">
      <w:pPr>
        <w:pStyle w:val="4"/>
        <w:rPr>
          <w:rFonts w:hint="default" w:ascii="Arial Regular" w:hAnsi="Arial Regular" w:cs="Arial Regular"/>
        </w:rPr>
      </w:pPr>
      <w:bookmarkStart w:id="8" w:name="typical-analysis-workflow"/>
      <w:r>
        <w:rPr>
          <w:rFonts w:hint="default" w:ascii="Arial Regular" w:hAnsi="Arial Regular" w:cs="Arial Regular"/>
        </w:rPr>
        <w:t>Typical analysis workflow</w:t>
      </w:r>
    </w:p>
    <w:p w14:paraId="68CB94B8">
      <w:pPr>
        <w:pStyle w:val="23"/>
        <w:rPr>
          <w:rFonts w:hint="default" w:ascii="Arial Regular" w:hAnsi="Arial Regular" w:cs="Arial Regular"/>
        </w:rPr>
      </w:pPr>
      <w:r>
        <w:rPr>
          <w:rFonts w:hint="default" w:ascii="Arial Regular" w:hAnsi="Arial Regular" w:cs="Arial Regular"/>
        </w:rPr>
        <w:t>To illustrate a typical analysis, we analyzed the bundled example dataset (</w:t>
      </w:r>
      <w:r>
        <w:rPr>
          <w:rStyle w:val="48"/>
          <w:rFonts w:hint="default" w:ascii="Arial Regular" w:hAnsi="Arial Regular" w:cs="Arial Regular"/>
        </w:rPr>
        <w:t>examples/cq.csv</w:t>
      </w:r>
      <w:r>
        <w:rPr>
          <w:rFonts w:hint="default" w:ascii="Arial Regular" w:hAnsi="Arial Regular" w:cs="Arial Regular"/>
        </w:rPr>
        <w:t xml:space="preserve"> and </w:t>
      </w:r>
      <w:r>
        <w:rPr>
          <w:rStyle w:val="48"/>
          <w:rFonts w:hint="default" w:ascii="Arial Regular" w:hAnsi="Arial Regular" w:cs="Arial Regular"/>
        </w:rPr>
        <w:t>examples/design.csv</w:t>
      </w:r>
      <w:r>
        <w:rPr>
          <w:rFonts w:hint="default" w:ascii="Arial Regular" w:hAnsi="Arial Regular" w:cs="Arial Regular"/>
        </w:rPr>
        <w:t xml:space="preserve">), comprising the target gene </w:t>
      </w:r>
      <w:r>
        <w:rPr>
          <w:rFonts w:hint="default" w:ascii="Arial Regular" w:hAnsi="Arial Regular" w:cs="Arial Regular"/>
          <w:i/>
          <w:iCs/>
        </w:rPr>
        <w:t>fos-glo-myc</w:t>
      </w:r>
      <w:r>
        <w:rPr>
          <w:rFonts w:hint="default" w:ascii="Arial Regular" w:hAnsi="Arial Regular" w:cs="Arial Regular"/>
        </w:rPr>
        <w:t xml:space="preserve"> normalized against the reference gene </w:t>
      </w:r>
      <w:r>
        <w:rPr>
          <w:rFonts w:hint="default" w:ascii="Arial Regular" w:hAnsi="Arial Regular" w:cs="Arial Regular"/>
          <w:i/>
          <w:iCs/>
        </w:rPr>
        <w:t>Beta Actin</w:t>
      </w:r>
      <w:r>
        <w:rPr>
          <w:rFonts w:hint="default" w:ascii="Arial Regular" w:hAnsi="Arial Regular" w:cs="Arial Regular"/>
        </w:rPr>
        <w:t xml:space="preserve"> across three treatment groups (0, 0.5, 1) with three biological replicates each. Using the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method with a two-sample </w:t>
      </w:r>
      <m:oMath>
        <m:r>
          <m:rPr/>
          <w:rPr>
            <w:rFonts w:hint="default" w:ascii="DejaVu Math TeX Gyre" w:hAnsi="DejaVu Math TeX Gyre" w:cs="Arial Regular"/>
          </w:rPr>
          <m:t>t</m:t>
        </m:r>
      </m:oMath>
      <w:r>
        <w:rPr>
          <w:rFonts w:hint="default" w:ascii="Arial Regular" w:hAnsi="Arial Regular" w:cs="Arial Regular"/>
        </w:rPr>
        <w:t xml:space="preserve">-test against the control group (0), relative expression rose monotonically to 1.11 at dose 0.5 and 1.59 at dose 1, both significant at </w:t>
      </w:r>
      <m:oMath>
        <m:r>
          <m:rPr/>
          <w:rPr>
            <w:rFonts w:hint="default" w:ascii="DejaVu Math TeX Gyre" w:hAnsi="DejaVu Math TeX Gyre" w:cs="Arial Regular"/>
          </w:rPr>
          <m:t>p</m:t>
        </m:r>
        <m:r>
          <m:rPr>
            <m:sty m:val="p"/>
          </m:rPr>
          <w:rPr>
            <w:rFonts w:hint="default" w:ascii="DejaVu Math TeX Gyre" w:hAnsi="DejaVu Math TeX Gyre" w:cs="Arial Regular"/>
          </w:rPr>
          <m:t>&lt;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3</m:t>
            </m:r>
            <m:ctrlPr>
              <w:rPr>
                <w:rFonts w:hint="default" w:ascii="DejaVu Math TeX Gyre" w:hAnsi="DejaVu Math TeX Gyre" w:cs="Arial Regular"/>
              </w:rPr>
            </m:ctrlPr>
          </m:sup>
        </m:sSup>
      </m:oMath>
      <w:r>
        <w:rPr>
          <w:rFonts w:hint="default" w:ascii="Arial Regular" w:hAnsi="Arial Regular" w:cs="Arial Regular"/>
        </w:rPr>
        <w:t xml:space="preserve"> (Figure </w:t>
      </w:r>
      <w:r>
        <w:rPr>
          <w:rFonts w:hint="default" w:ascii="Arial Regular" w:hAnsi="Arial Regular" w:cs="Arial Regular"/>
        </w:rPr>
        <w:fldChar w:fldCharType="begin"/>
      </w:r>
      <w:r>
        <w:rPr>
          <w:rFonts w:hint="default" w:ascii="Arial Regular" w:hAnsi="Arial Regular" w:cs="Arial Regular"/>
        </w:rPr>
        <w:instrText xml:space="preserve"> HYPERLINK \l "fig:results" \h </w:instrText>
      </w:r>
      <w:r>
        <w:rPr>
          <w:rFonts w:hint="default" w:ascii="Arial Regular" w:hAnsi="Arial Regular" w:cs="Arial Regular"/>
        </w:rPr>
        <w:fldChar w:fldCharType="separate"/>
      </w:r>
      <w:r>
        <w:rPr>
          <w:rStyle w:val="20"/>
          <w:rFonts w:hint="default" w:ascii="Arial Regular" w:hAnsi="Arial Regular" w:cs="Arial Regular"/>
        </w:rPr>
        <w:t>2</w:t>
      </w:r>
      <w:r>
        <w:rPr>
          <w:rStyle w:val="20"/>
          <w:rFonts w:hint="default" w:ascii="Arial Regular" w:hAnsi="Arial Regular" w:cs="Arial Regular"/>
        </w:rPr>
        <w:fldChar w:fldCharType="end"/>
      </w:r>
      <w:r>
        <w:rPr>
          <w:rFonts w:hint="default" w:ascii="Arial Regular" w:hAnsi="Arial Regular" w:cs="Arial Regular"/>
        </w:rPr>
        <w:t xml:space="preserve">). Applied to a four-fold dilution series of four genes, the standard-curve module recovered slopes between </w:t>
      </w:r>
      <m:oMath>
        <m:r>
          <m:rPr>
            <m:sty m:val="p"/>
          </m:rPr>
          <w:rPr>
            <w:rFonts w:hint="default" w:ascii="DejaVu Math TeX Gyre" w:hAnsi="DejaVu Math TeX Gyre" w:cs="Arial Regular"/>
          </w:rPr>
          <m:t>−</m:t>
        </m:r>
        <m:r>
          <m:rPr/>
          <w:rPr>
            <w:rFonts w:hint="default" w:ascii="DejaVu Math TeX Gyre" w:hAnsi="DejaVu Math TeX Gyre" w:cs="Arial Regular"/>
          </w:rPr>
          <m:t>2.07</m:t>
        </m:r>
      </m:oMath>
      <w:r>
        <w:rPr>
          <w:rFonts w:hint="default" w:ascii="Arial Regular" w:hAnsi="Arial Regular" w:cs="Arial Regular"/>
        </w:rPr>
        <w:t xml:space="preserve"> and </w:t>
      </w:r>
      <m:oMath>
        <m:r>
          <m:rPr>
            <m:sty m:val="p"/>
          </m:rPr>
          <w:rPr>
            <w:rFonts w:hint="default" w:ascii="DejaVu Math TeX Gyre" w:hAnsi="DejaVu Math TeX Gyre" w:cs="Arial Regular"/>
          </w:rPr>
          <m:t>−</m:t>
        </m:r>
        <m:r>
          <m:rPr/>
          <w:rPr>
            <w:rFonts w:hint="default" w:ascii="DejaVu Math TeX Gyre" w:hAnsi="DejaVu Math TeX Gyre" w:cs="Arial Regular"/>
          </w:rPr>
          <m:t>2.24</m:t>
        </m:r>
      </m:oMath>
      <w:r>
        <w:rPr>
          <w:rFonts w:hint="default" w:ascii="Arial Regular" w:hAnsi="Arial Regular" w:cs="Arial Regular"/>
        </w:rPr>
        <w:t xml:space="preserve"> with </w:t>
      </w:r>
      <m:oMath>
        <m:sSup>
          <m:sSupPr>
            <m:ctrlPr>
              <w:rPr>
                <w:rFonts w:hint="default" w:ascii="DejaVu Math TeX Gyre" w:hAnsi="DejaVu Math TeX Gyre" w:cs="Arial Regular"/>
              </w:rPr>
            </m:ctrlPr>
          </m:sSupPr>
          <m:e>
            <m:r>
              <m:rPr/>
              <w:rPr>
                <w:rFonts w:hint="default" w:ascii="DejaVu Math TeX Gyre" w:hAnsi="DejaVu Math TeX Gyre" w:cs="Arial Regular"/>
              </w:rPr>
              <m:t>R</m:t>
            </m:r>
            <m:ctrlPr>
              <w:rPr>
                <w:rFonts w:hint="default" w:ascii="DejaVu Math TeX Gyre" w:hAnsi="DejaVu Math TeX Gyre" w:cs="Arial Regular"/>
              </w:rPr>
            </m:ctrlPr>
          </m:e>
          <m:sup>
            <m:r>
              <m:rPr/>
              <w:rPr>
                <w:rFonts w:hint="default" w:ascii="DejaVu Math TeX Gyre" w:hAnsi="DejaVu Math TeX Gyre" w:cs="Arial Regular"/>
              </w:rPr>
              <m:t>2</m:t>
            </m:r>
            <m:ctrlPr>
              <w:rPr>
                <w:rFonts w:hint="default" w:ascii="DejaVu Math TeX Gyre" w:hAnsi="DejaVu Math TeX Gyre" w:cs="Arial Regular"/>
              </w:rPr>
            </m:ctrlPr>
          </m:sup>
        </m:sSup>
        <m:r>
          <m:rPr>
            <m:sty m:val="p"/>
          </m:rPr>
          <w:rPr>
            <w:rFonts w:hint="default" w:ascii="DejaVu Math TeX Gyre" w:hAnsi="DejaVu Math TeX Gyre" w:cs="Arial Regular"/>
          </w:rPr>
          <m:t>&gt;</m:t>
        </m:r>
        <m:r>
          <m:rPr/>
          <w:rPr>
            <w:rFonts w:hint="default" w:ascii="DejaVu Math TeX Gyre" w:hAnsi="DejaVu Math TeX Gyre" w:cs="Arial Regular"/>
          </w:rPr>
          <m:t>0.99</m:t>
        </m:r>
      </m:oMath>
      <w:r>
        <w:rPr>
          <w:rFonts w:hint="default" w:ascii="Arial Regular" w:hAnsi="Arial Regular" w:cs="Arial Regular"/>
        </w:rPr>
        <w:t xml:space="preserve"> for three of the four primers (efficiencies 0.85–0.95), illustrating amplification-efficiency estimation that, per MIQE guidance, determines which quantification method is appropriate. The complete workflow—import, configuration, analysis, and export—is performed through the graphical interface without writing code.</w:t>
      </w:r>
    </w:p>
    <w:p w14:paraId="29E2A1C5">
      <w:pPr>
        <w:pStyle w:val="47"/>
        <w:jc w:val="center"/>
        <w:rPr>
          <w:rFonts w:hint="default" w:ascii="Arial Regular" w:hAnsi="Arial Regular" w:cs="Arial Regular"/>
        </w:rPr>
      </w:pPr>
      <w:bookmarkStart w:id="9" w:name="fig:results"/>
      <w:r>
        <w:rPr>
          <w:rFonts w:hint="default" w:ascii="Arial Regular" w:hAnsi="Arial Regular" w:cs="Arial Regular"/>
        </w:rPr>
        <w:drawing>
          <wp:inline distT="0" distB="0" distL="114300" distR="114300">
            <wp:extent cx="5334000" cy="2268220"/>
            <wp:effectExtent l="0" t="0" r="0" b="1778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6"/>
                    <a:stretch>
                      <a:fillRect/>
                    </a:stretch>
                  </pic:blipFill>
                  <pic:spPr>
                    <a:xfrm>
                      <a:off x="0" y="0"/>
                      <a:ext cx="5334000" cy="2268802"/>
                    </a:xfrm>
                    <a:prstGeom prst="rect">
                      <a:avLst/>
                    </a:prstGeom>
                    <a:noFill/>
                    <a:ln w="9525">
                      <a:noFill/>
                    </a:ln>
                  </pic:spPr>
                </pic:pic>
              </a:graphicData>
            </a:graphic>
          </wp:inline>
        </w:drawing>
      </w:r>
    </w:p>
    <w:p w14:paraId="4E325284">
      <w:pPr>
        <w:pStyle w:val="45"/>
        <w:rPr>
          <w:rFonts w:hint="default" w:ascii="Arial Regular" w:hAnsi="Arial Regular" w:cs="Arial Regular"/>
        </w:rPr>
      </w:pPr>
      <w:r>
        <w:rPr>
          <w:rFonts w:hint="default" w:ascii="Arial Regular" w:hAnsi="Arial Regular" w:cs="Arial Regular"/>
        </w:rPr>
        <w:t xml:space="preserve">Analysis output on real data. (A) Standard curves for four genes over a four-fold dilution series, with fitted regressions and </w:t>
      </w:r>
      <m:oMath>
        <m:sSup>
          <m:sSupPr>
            <m:ctrlPr>
              <w:rPr>
                <w:rFonts w:hint="default" w:ascii="DejaVu Math TeX Gyre" w:hAnsi="DejaVu Math TeX Gyre" w:cs="Arial Regular"/>
              </w:rPr>
            </m:ctrlPr>
          </m:sSupPr>
          <m:e>
            <m:r>
              <m:rPr/>
              <w:rPr>
                <w:rFonts w:hint="default" w:ascii="DejaVu Math TeX Gyre" w:hAnsi="DejaVu Math TeX Gyre" w:cs="Arial Regular"/>
              </w:rPr>
              <m:t>R</m:t>
            </m:r>
            <m:ctrlPr>
              <w:rPr>
                <w:rFonts w:hint="default" w:ascii="DejaVu Math TeX Gyre" w:hAnsi="DejaVu Math TeX Gyre" w:cs="Arial Regular"/>
              </w:rPr>
            </m:ctrlPr>
          </m:e>
          <m:sup>
            <m:r>
              <m:rPr/>
              <w:rPr>
                <w:rFonts w:hint="default" w:ascii="DejaVu Math TeX Gyre" w:hAnsi="DejaVu Math TeX Gyre" w:cs="Arial Regular"/>
              </w:rPr>
              <m:t>2</m:t>
            </m:r>
            <m:ctrlPr>
              <w:rPr>
                <w:rFonts w:hint="default" w:ascii="DejaVu Math TeX Gyre" w:hAnsi="DejaVu Math TeX Gyre" w:cs="Arial Regular"/>
              </w:rPr>
            </m:ctrlPr>
          </m:sup>
        </m:sSup>
      </m:oMath>
      <w:r>
        <w:rPr>
          <w:rFonts w:hint="default" w:ascii="Arial Regular" w:hAnsi="Arial Regular" w:cs="Arial Regular"/>
        </w:rPr>
        <w:t xml:space="preserve">. (B) Relative expression of </w:t>
      </w:r>
      <w:r>
        <w:rPr>
          <w:rFonts w:hint="default" w:ascii="Arial Regular" w:hAnsi="Arial Regular" w:cs="Arial Regular"/>
          <w:i/>
          <w:iCs/>
        </w:rPr>
        <w:t>fos-glo-myc</w:t>
      </w:r>
      <w:r>
        <w:rPr>
          <w:rFonts w:hint="default" w:ascii="Arial Regular" w:hAnsi="Arial Regular" w:cs="Arial Regular"/>
        </w:rPr>
        <w:t xml:space="preserve"> across treatment groups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method), with significance labels.</w:t>
      </w:r>
    </w:p>
    <w:bookmarkEnd w:id="8"/>
    <w:bookmarkEnd w:id="9"/>
    <w:p w14:paraId="7AE0E0A0">
      <w:pPr>
        <w:pStyle w:val="4"/>
        <w:rPr>
          <w:rFonts w:hint="default" w:ascii="Arial Regular" w:hAnsi="Arial Regular" w:cs="Arial Regular"/>
        </w:rPr>
      </w:pPr>
      <w:bookmarkStart w:id="10" w:name="equivalence-to-the-r-package"/>
      <w:r>
        <w:rPr>
          <w:rFonts w:hint="default" w:ascii="Arial Regular" w:hAnsi="Arial Regular" w:cs="Arial Regular"/>
        </w:rPr>
        <w:t>Equivalence to the R package</w:t>
      </w:r>
    </w:p>
    <w:p w14:paraId="66051468">
      <w:pPr>
        <w:pStyle w:val="23"/>
        <w:rPr>
          <w:rFonts w:hint="default" w:ascii="Arial Regular" w:hAnsi="Arial Regular" w:cs="Arial Regular"/>
        </w:rPr>
      </w:pPr>
      <w:r>
        <w:rPr>
          <w:rFonts w:hint="default" w:ascii="Arial Regular" w:hAnsi="Arial Regular" w:cs="Arial Regular"/>
        </w:rPr>
        <w:t>We validated the C++ implementation against the original R package (Li et al. 2022) by running both on identical inputs for every shared method—</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w:t>
      </w:r>
      <w:r>
        <w:rPr>
          <w:rStyle w:val="48"/>
          <w:rFonts w:hint="default" w:ascii="Arial Regular" w:hAnsi="Arial Regular" w:cs="Arial Regular"/>
        </w:rPr>
        <w:t>CalExp2ddCt</w:t>
      </w:r>
      <w:r>
        <w:rPr>
          <w:rFonts w:hint="default" w:ascii="Arial Regular" w:hAnsi="Arial Regular" w:cs="Arial Regular"/>
        </w:rPr>
        <w:t>), the standard curve (</w:t>
      </w:r>
      <w:r>
        <w:rPr>
          <w:rStyle w:val="48"/>
          <w:rFonts w:hint="default" w:ascii="Arial Regular" w:hAnsi="Arial Regular" w:cs="Arial Regular"/>
        </w:rPr>
        <w:t>CalCurve</w:t>
      </w:r>
      <w:r>
        <w:rPr>
          <w:rFonts w:hint="default" w:ascii="Arial Regular" w:hAnsi="Arial Regular" w:cs="Arial Regular"/>
        </w:rPr>
        <w:t>), and the efficiency-based RqPCR method (</w:t>
      </w:r>
      <w:r>
        <w:rPr>
          <w:rStyle w:val="48"/>
          <w:rFonts w:hint="default" w:ascii="Arial Regular" w:hAnsi="Arial Regular" w:cs="Arial Regular"/>
        </w:rPr>
        <w:t>CalExpRqPCR</w:t>
      </w:r>
      <w:r>
        <w:rPr>
          <w:rFonts w:hint="default" w:ascii="Arial Regular" w:hAnsi="Arial Regular" w:cs="Arial Regular"/>
        </w:rPr>
        <w:t>)—and comparing every resulting quantity pairwise (Table </w:t>
      </w:r>
      <w:r>
        <w:rPr>
          <w:rFonts w:hint="default" w:ascii="Arial Regular" w:hAnsi="Arial Regular" w:cs="Arial Regular"/>
        </w:rPr>
        <w:fldChar w:fldCharType="begin"/>
      </w:r>
      <w:r>
        <w:rPr>
          <w:rFonts w:hint="default" w:ascii="Arial Regular" w:hAnsi="Arial Regular" w:cs="Arial Regular"/>
        </w:rPr>
        <w:instrText xml:space="preserve"> HYPERLINK \l "tab:equivalence" \h </w:instrText>
      </w:r>
      <w:r>
        <w:rPr>
          <w:rFonts w:hint="default" w:ascii="Arial Regular" w:hAnsi="Arial Regular" w:cs="Arial Regular"/>
        </w:rPr>
        <w:fldChar w:fldCharType="separate"/>
      </w:r>
      <w:r>
        <w:rPr>
          <w:rStyle w:val="20"/>
          <w:rFonts w:hint="default" w:ascii="Arial Regular" w:hAnsi="Arial Regular" w:cs="Arial Regular"/>
        </w:rPr>
        <w:t>1</w:t>
      </w:r>
      <w:r>
        <w:rPr>
          <w:rStyle w:val="20"/>
          <w:rFonts w:hint="default" w:ascii="Arial Regular" w:hAnsi="Arial Regular" w:cs="Arial Regular"/>
        </w:rPr>
        <w:fldChar w:fldCharType="end"/>
      </w:r>
      <w:r>
        <w:rPr>
          <w:rFonts w:hint="default" w:ascii="Arial Regular" w:hAnsi="Arial Regular" w:cs="Arial Regular"/>
        </w:rPr>
        <w:t>, Figure </w:t>
      </w:r>
      <w:r>
        <w:rPr>
          <w:rFonts w:hint="default" w:ascii="Arial Regular" w:hAnsi="Arial Regular" w:cs="Arial Regular"/>
        </w:rPr>
        <w:fldChar w:fldCharType="begin"/>
      </w:r>
      <w:r>
        <w:rPr>
          <w:rFonts w:hint="default" w:ascii="Arial Regular" w:hAnsi="Arial Regular" w:cs="Arial Regular"/>
        </w:rPr>
        <w:instrText xml:space="preserve"> HYPERLINK \l "fig:equivalence" \h </w:instrText>
      </w:r>
      <w:r>
        <w:rPr>
          <w:rFonts w:hint="default" w:ascii="Arial Regular" w:hAnsi="Arial Regular" w:cs="Arial Regular"/>
        </w:rPr>
        <w:fldChar w:fldCharType="separate"/>
      </w:r>
      <w:r>
        <w:rPr>
          <w:rStyle w:val="20"/>
          <w:rFonts w:hint="default" w:ascii="Arial Regular" w:hAnsi="Arial Regular" w:cs="Arial Regular"/>
        </w:rPr>
        <w:t>3</w:t>
      </w:r>
      <w:r>
        <w:rPr>
          <w:rStyle w:val="20"/>
          <w:rFonts w:hint="default" w:ascii="Arial Regular" w:hAnsi="Arial Regular" w:cs="Arial Regular"/>
        </w:rPr>
        <w:fldChar w:fldCharType="end"/>
      </w:r>
      <w:r>
        <w:rPr>
          <w:rFonts w:hint="default" w:ascii="Arial Regular" w:hAnsi="Arial Regular" w:cs="Arial Regular"/>
        </w:rPr>
        <w:t>). Inputs were drawn from the repository’s example data and from a dilution series used in the original R package; both implementations read the same on-disk files, so any difference reflects the implementations alone.</w:t>
      </w:r>
    </w:p>
    <w:p w14:paraId="389A3396">
      <w:pPr>
        <w:pStyle w:val="44"/>
        <w:rPr>
          <w:rFonts w:hint="default" w:ascii="Arial Regular" w:hAnsi="Arial Regular" w:cs="Arial Regular"/>
        </w:rPr>
      </w:pPr>
      <w:bookmarkStart w:id="11" w:name="tab:equivalence"/>
      <w:r>
        <w:rPr>
          <w:rFonts w:hint="default" w:ascii="Arial Regular" w:hAnsi="Arial Regular" w:cs="Arial Regular"/>
        </w:rPr>
        <w:t xml:space="preserve">Equivalence of C++ and R results across all shared methods on identical inputs. Relative difference is </w:t>
      </w:r>
      <m:oMath>
        <m:r>
          <m:rPr>
            <m:sty m:val="p"/>
          </m:rPr>
          <w:rPr>
            <w:rFonts w:hint="default" w:ascii="DejaVu Math TeX Gyre" w:hAnsi="DejaVu Math TeX Gyre" w:cs="Arial Regular"/>
          </w:rPr>
          <m:t>|</m:t>
        </m:r>
        <m:r>
          <m:rPr/>
          <w:rPr>
            <w:rFonts w:hint="default" w:ascii="DejaVu Math TeX Gyre" w:hAnsi="DejaVu Math TeX Gyre" w:cs="Arial Regular"/>
          </w:rPr>
          <m:t>R</m:t>
        </m:r>
        <m:r>
          <m:rPr>
            <m:sty m:val="p"/>
          </m:rPr>
          <w:rPr>
            <w:rFonts w:hint="default" w:ascii="DejaVu Math TeX Gyre" w:hAnsi="DejaVu Math TeX Gyre" w:cs="Arial Regular"/>
          </w:rPr>
          <m:t>−C++|/|</m:t>
        </m:r>
        <m:r>
          <m:rPr/>
          <w:rPr>
            <w:rFonts w:hint="default" w:ascii="DejaVu Math TeX Gyre" w:hAnsi="DejaVu Math TeX Gyre" w:cs="Arial Regular"/>
          </w:rPr>
          <m:t>R</m:t>
        </m:r>
        <m:r>
          <m:rPr>
            <m:sty m:val="p"/>
          </m:rPr>
          <w:rPr>
            <w:rFonts w:hint="default" w:ascii="DejaVu Math TeX Gyre" w:hAnsi="DejaVu Math TeX Gyre" w:cs="Arial Regular"/>
          </w:rPr>
          <m:t>|</m:t>
        </m:r>
      </m:oMath>
      <w:r>
        <w:rPr>
          <w:rFonts w:hint="default" w:ascii="Arial Regular" w:hAnsi="Arial Regular" w:cs="Arial Regular"/>
        </w:rPr>
        <w:t>.</w:t>
      </w:r>
    </w:p>
    <w:tbl>
      <w:tblPr>
        <w:tblStyle w:val="41"/>
        <w:tblW w:w="0" w:type="auto"/>
        <w:tblCaption w:val="Equivalence of C++ and R results across all shared methods on identical inputs. Relative difference is |R - \mathrm{C{+}{+}}|/|R|."/>
        <w:tblInd w:w="0" w:type="dxa"/>
        <w:tblLayout w:type="autofit"/>
        <w:tblCellMar>
          <w:top w:w="0" w:type="dxa"/>
          <w:left w:w="108" w:type="dxa"/>
          <w:bottom w:w="0" w:type="dxa"/>
          <w:right w:w="108" w:type="dxa"/>
        </w:tblCellMar>
      </w:tblPr>
      <w:tblGrid>
        <w:gridCol w:w="1844"/>
        <w:gridCol w:w="3433"/>
        <w:gridCol w:w="763"/>
        <w:gridCol w:w="1657"/>
      </w:tblGrid>
      <w:tr w14:paraId="184FB83F">
        <w:trPr>
          <w:tblHeader/>
        </w:trPr>
        <w:tc>
          <w:p w14:paraId="775EABAD">
            <w:pPr>
              <w:pStyle w:val="24"/>
              <w:jc w:val="left"/>
              <w:rPr>
                <w:rFonts w:hint="default" w:ascii="Arial Regular" w:hAnsi="Arial Regular" w:cs="Arial Regular"/>
              </w:rPr>
            </w:pPr>
            <w:r>
              <w:rPr>
                <w:rFonts w:hint="default" w:ascii="Arial Regular" w:hAnsi="Arial Regular" w:cs="Arial Regular"/>
              </w:rPr>
              <w:t>Method</w:t>
            </w:r>
          </w:p>
        </w:tc>
        <w:tc>
          <w:p w14:paraId="2E761056">
            <w:pPr>
              <w:pStyle w:val="24"/>
              <w:jc w:val="left"/>
              <w:rPr>
                <w:rFonts w:hint="default" w:ascii="Arial Regular" w:hAnsi="Arial Regular" w:cs="Arial Regular"/>
              </w:rPr>
            </w:pPr>
            <w:r>
              <w:rPr>
                <w:rFonts w:hint="default" w:ascii="Arial Regular" w:hAnsi="Arial Regular" w:cs="Arial Regular"/>
              </w:rPr>
              <w:t>Compared quantities</w:t>
            </w:r>
          </w:p>
        </w:tc>
        <w:tc>
          <w:p w14:paraId="35CC18DF">
            <w:pPr>
              <w:pStyle w:val="24"/>
              <w:jc w:val="center"/>
              <w:rPr>
                <w:rFonts w:hint="default" w:ascii="Arial Regular" w:hAnsi="Arial Regular" w:cs="Arial Regular"/>
              </w:rPr>
            </w:pPr>
            <w:r>
              <w:rPr>
                <w:rFonts w:hint="default" w:ascii="Arial Regular" w:hAnsi="Arial Regular" w:cs="Arial Regular"/>
              </w:rPr>
              <w:t>Pairs</w:t>
            </w:r>
          </w:p>
        </w:tc>
        <w:tc>
          <w:p w14:paraId="5A5B3588">
            <w:pPr>
              <w:pStyle w:val="24"/>
              <w:jc w:val="center"/>
              <w:rPr>
                <w:rFonts w:hint="default" w:ascii="Arial Regular" w:hAnsi="Arial Regular" w:cs="Arial Regular"/>
              </w:rPr>
            </w:pPr>
            <w:r>
              <w:rPr>
                <w:rFonts w:hint="default" w:ascii="Arial Regular" w:hAnsi="Arial Regular" w:cs="Arial Regular"/>
              </w:rPr>
              <w:t>Max. rel. diff. </w:t>
            </w:r>
          </w:p>
        </w:tc>
      </w:tr>
      <w:tr w14:paraId="7F7EC557">
        <w:tc>
          <w:p w14:paraId="6D430CA6">
            <w:pPr>
              <w:pStyle w:val="24"/>
              <w:jc w:val="left"/>
              <w:rPr>
                <w:rFonts w:hint="default" w:ascii="Arial Regular" w:hAnsi="Arial Regular" w:cs="Arial Regular"/>
              </w:rPr>
            </w:pPr>
            <m:oMathPara>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m:oMathPara>
          </w:p>
        </w:tc>
        <w:tc>
          <w:p w14:paraId="54D0D8C3">
            <w:pPr>
              <w:pStyle w:val="24"/>
              <w:jc w:val="left"/>
              <w:rPr>
                <w:rFonts w:hint="default" w:ascii="Arial Regular" w:hAnsi="Arial Regular" w:cs="Arial Regular"/>
              </w:rPr>
            </w:pPr>
            <w:r>
              <w:rPr>
                <w:rFonts w:hint="default" w:ascii="Arial Regular" w:hAnsi="Arial Regular" w:cs="Arial Regular"/>
              </w:rPr>
              <w:t>expression, SD</w:t>
            </w:r>
          </w:p>
        </w:tc>
        <w:tc>
          <w:p w14:paraId="66240890">
            <w:pPr>
              <w:pStyle w:val="24"/>
              <w:jc w:val="center"/>
              <w:rPr>
                <w:rFonts w:hint="default" w:ascii="Arial Regular" w:hAnsi="Arial Regular" w:cs="Arial Regular"/>
              </w:rPr>
            </w:pPr>
            <w:r>
              <w:rPr>
                <w:rFonts w:hint="default" w:ascii="Arial Regular" w:hAnsi="Arial Regular" w:cs="Arial Regular"/>
              </w:rPr>
              <w:t>6</w:t>
            </w:r>
          </w:p>
        </w:tc>
        <w:tc>
          <w:p w14:paraId="3BEC9F2F">
            <w:pPr>
              <w:pStyle w:val="24"/>
              <w:jc w:val="center"/>
              <w:rPr>
                <w:rFonts w:hint="default" w:ascii="Arial Regular" w:hAnsi="Arial Regular" w:cs="Arial Regular"/>
              </w:rPr>
            </w:pPr>
            <m:oMathPara>
              <m:oMath>
                <m:r>
                  <m:rPr/>
                  <w:rPr>
                    <w:rFonts w:hint="default" w:ascii="DejaVu Math TeX Gyre" w:hAnsi="DejaVu Math TeX Gyre" w:cs="Arial Regular"/>
                  </w:rPr>
                  <m:t>3.8</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15</m:t>
                    </m:r>
                    <m:ctrlPr>
                      <w:rPr>
                        <w:rFonts w:hint="default" w:ascii="DejaVu Math TeX Gyre" w:hAnsi="DejaVu Math TeX Gyre" w:cs="Arial Regular"/>
                      </w:rPr>
                    </m:ctrlPr>
                  </m:sup>
                </m:sSup>
              </m:oMath>
            </m:oMathPara>
          </w:p>
        </w:tc>
      </w:tr>
      <w:tr w14:paraId="48ADCB3F">
        <w:tc>
          <w:p w14:paraId="6227D05D">
            <w:pPr>
              <w:pStyle w:val="24"/>
              <w:jc w:val="left"/>
              <w:rPr>
                <w:rFonts w:hint="default" w:ascii="Arial Regular" w:hAnsi="Arial Regular" w:cs="Arial Regular"/>
              </w:rPr>
            </w:pPr>
            <w:r>
              <w:rPr>
                <w:rFonts w:hint="default" w:ascii="Arial Regular" w:hAnsi="Arial Regular" w:cs="Arial Regular"/>
              </w:rPr>
              <w:t>Standard curve</w:t>
            </w:r>
          </w:p>
        </w:tc>
        <w:tc>
          <w:p w14:paraId="2EB9B580">
            <w:pPr>
              <w:pStyle w:val="24"/>
              <w:jc w:val="left"/>
              <w:rPr>
                <w:rFonts w:hint="default" w:ascii="Arial Regular" w:hAnsi="Arial Regular" w:cs="Arial Regular"/>
              </w:rPr>
            </w:pPr>
            <w:r>
              <w:rPr>
                <w:rFonts w:hint="default" w:ascii="Arial Regular" w:hAnsi="Arial Regular" w:cs="Arial Regular"/>
              </w:rPr>
              <w:t xml:space="preserve">slope, intercept, </w:t>
            </w:r>
            <m:oMath>
              <m:sSup>
                <m:sSupPr>
                  <m:ctrlPr>
                    <w:rPr>
                      <w:rFonts w:hint="default" w:ascii="DejaVu Math TeX Gyre" w:hAnsi="DejaVu Math TeX Gyre" w:cs="Arial Regular"/>
                    </w:rPr>
                  </m:ctrlPr>
                </m:sSupPr>
                <m:e>
                  <m:r>
                    <m:rPr/>
                    <w:rPr>
                      <w:rFonts w:hint="default" w:ascii="DejaVu Math TeX Gyre" w:hAnsi="DejaVu Math TeX Gyre" w:cs="Arial Regular"/>
                    </w:rPr>
                    <m:t>R</m:t>
                  </m:r>
                  <m:ctrlPr>
                    <w:rPr>
                      <w:rFonts w:hint="default" w:ascii="DejaVu Math TeX Gyre" w:hAnsi="DejaVu Math TeX Gyre" w:cs="Arial Regular"/>
                    </w:rPr>
                  </m:ctrlPr>
                </m:e>
                <m:sup>
                  <m:r>
                    <m:rPr/>
                    <w:rPr>
                      <w:rFonts w:hint="default" w:ascii="DejaVu Math TeX Gyre" w:hAnsi="DejaVu Math TeX Gyre" w:cs="Arial Regular"/>
                    </w:rPr>
                    <m:t>2</m:t>
                  </m:r>
                  <m:ctrlPr>
                    <w:rPr>
                      <w:rFonts w:hint="default" w:ascii="DejaVu Math TeX Gyre" w:hAnsi="DejaVu Math TeX Gyre" w:cs="Arial Regular"/>
                    </w:rPr>
                  </m:ctrlPr>
                </m:sup>
              </m:sSup>
            </m:oMath>
            <w:r>
              <w:rPr>
                <w:rFonts w:hint="default" w:ascii="Arial Regular" w:hAnsi="Arial Regular" w:cs="Arial Regular"/>
              </w:rPr>
              <w:t>, efficiency</w:t>
            </w:r>
          </w:p>
        </w:tc>
        <w:tc>
          <w:p w14:paraId="7A884B0A">
            <w:pPr>
              <w:pStyle w:val="24"/>
              <w:jc w:val="center"/>
              <w:rPr>
                <w:rFonts w:hint="default" w:ascii="Arial Regular" w:hAnsi="Arial Regular" w:cs="Arial Regular"/>
              </w:rPr>
            </w:pPr>
            <w:r>
              <w:rPr>
                <w:rFonts w:hint="default" w:ascii="Arial Regular" w:hAnsi="Arial Regular" w:cs="Arial Regular"/>
              </w:rPr>
              <w:t>16</w:t>
            </w:r>
          </w:p>
        </w:tc>
        <w:tc>
          <w:p w14:paraId="587DC841">
            <w:pPr>
              <w:pStyle w:val="24"/>
              <w:jc w:val="center"/>
              <w:rPr>
                <w:rFonts w:hint="default" w:ascii="Arial Regular" w:hAnsi="Arial Regular" w:cs="Arial Regular"/>
              </w:rPr>
            </w:pPr>
            <m:oMathPara>
              <m:oMath>
                <m:r>
                  <m:rPr/>
                  <w:rPr>
                    <w:rFonts w:hint="default" w:ascii="DejaVu Math TeX Gyre" w:hAnsi="DejaVu Math TeX Gyre" w:cs="Arial Regular"/>
                  </w:rPr>
                  <m:t>2.5</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3</m:t>
                    </m:r>
                    <m:ctrlPr>
                      <w:rPr>
                        <w:rFonts w:hint="default" w:ascii="DejaVu Math TeX Gyre" w:hAnsi="DejaVu Math TeX Gyre" w:cs="Arial Regular"/>
                      </w:rPr>
                    </m:ctrlPr>
                  </m:sup>
                </m:sSup>
              </m:oMath>
            </m:oMathPara>
          </w:p>
        </w:tc>
      </w:tr>
      <w:tr w14:paraId="6AAFE512">
        <w:tc>
          <w:p w14:paraId="3117AE98">
            <w:pPr>
              <w:pStyle w:val="24"/>
              <w:jc w:val="left"/>
              <w:rPr>
                <w:rFonts w:hint="default" w:ascii="Arial Regular" w:hAnsi="Arial Regular" w:cs="Arial Regular"/>
              </w:rPr>
            </w:pPr>
            <w:r>
              <w:rPr>
                <w:rFonts w:hint="default" w:ascii="Arial Regular" w:hAnsi="Arial Regular" w:cs="Arial Regular"/>
              </w:rPr>
              <w:t>RqPCR</w:t>
            </w:r>
          </w:p>
        </w:tc>
        <w:tc>
          <w:p w14:paraId="4CD47BF7">
            <w:pPr>
              <w:pStyle w:val="24"/>
              <w:jc w:val="left"/>
              <w:rPr>
                <w:rFonts w:hint="default" w:ascii="Arial Regular" w:hAnsi="Arial Regular" w:cs="Arial Regular"/>
              </w:rPr>
            </w:pPr>
            <w:r>
              <w:rPr>
                <w:rFonts w:hint="default" w:ascii="Arial Regular" w:hAnsi="Arial Regular" w:cs="Arial Regular"/>
              </w:rPr>
              <w:t>expression, SE</w:t>
            </w:r>
          </w:p>
        </w:tc>
        <w:tc>
          <w:p w14:paraId="02AE34D1">
            <w:pPr>
              <w:pStyle w:val="24"/>
              <w:jc w:val="center"/>
              <w:rPr>
                <w:rFonts w:hint="default" w:ascii="Arial Regular" w:hAnsi="Arial Regular" w:cs="Arial Regular"/>
              </w:rPr>
            </w:pPr>
            <w:r>
              <w:rPr>
                <w:rFonts w:hint="default" w:ascii="Arial Regular" w:hAnsi="Arial Regular" w:cs="Arial Regular"/>
              </w:rPr>
              <w:t>16</w:t>
            </w:r>
          </w:p>
        </w:tc>
        <w:tc>
          <w:p w14:paraId="03FC0C76">
            <w:pPr>
              <w:pStyle w:val="24"/>
              <w:jc w:val="center"/>
              <w:rPr>
                <w:rFonts w:hint="default" w:ascii="Arial Regular" w:hAnsi="Arial Regular" w:cs="Arial Regular"/>
              </w:rPr>
            </w:pPr>
            <m:oMathPara>
              <m:oMath>
                <m:r>
                  <m:rPr/>
                  <w:rPr>
                    <w:rFonts w:hint="default" w:ascii="DejaVu Math TeX Gyre" w:hAnsi="DejaVu Math TeX Gyre" w:cs="Arial Regular"/>
                  </w:rPr>
                  <m:t>2.1</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15</m:t>
                    </m:r>
                    <m:ctrlPr>
                      <w:rPr>
                        <w:rFonts w:hint="default" w:ascii="DejaVu Math TeX Gyre" w:hAnsi="DejaVu Math TeX Gyre" w:cs="Arial Regular"/>
                      </w:rPr>
                    </m:ctrlPr>
                  </m:sup>
                </m:sSup>
              </m:oMath>
            </m:oMathPara>
          </w:p>
        </w:tc>
      </w:tr>
      <w:bookmarkEnd w:id="11"/>
    </w:tbl>
    <w:p w14:paraId="5AD24C26">
      <w:pPr>
        <w:pStyle w:val="3"/>
        <w:rPr>
          <w:rFonts w:hint="default" w:ascii="Arial Regular" w:hAnsi="Arial Regular" w:cs="Arial Regular"/>
        </w:rPr>
      </w:pPr>
      <w:r>
        <w:rPr>
          <w:rFonts w:hint="default" w:ascii="Arial Regular" w:hAnsi="Arial Regular" w:cs="Arial Regular"/>
        </w:rPr>
        <w:t xml:space="preserve">For the two expression methods,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and RqPCR, every compared quantity—expression values, standard deviations, and standard errors—matched between implementations to within floating-point precision (maximum relative difference </w:t>
      </w:r>
      <m:oMath>
        <m:r>
          <m:rPr>
            <m:sty m:val="p"/>
          </m:rPr>
          <w:rPr>
            <w:rFonts w:hint="default" w:ascii="DejaVu Math TeX Gyre" w:hAnsi="DejaVu Math TeX Gyre" w:cs="Arial Regular"/>
          </w:rPr>
          <m:t>&lt;</m:t>
        </m:r>
        <m:r>
          <m:rPr/>
          <w:rPr>
            <w:rFonts w:hint="default" w:ascii="DejaVu Math TeX Gyre" w:hAnsi="DejaVu Math TeX Gyre" w:cs="Arial Regular"/>
          </w:rPr>
          <m:t>4</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15</m:t>
            </m:r>
            <m:ctrlPr>
              <w:rPr>
                <w:rFonts w:hint="default" w:ascii="DejaVu Math TeX Gyre" w:hAnsi="DejaVu Math TeX Gyre" w:cs="Arial Regular"/>
              </w:rPr>
            </m:ctrlPr>
          </m:sup>
        </m:sSup>
      </m:oMath>
      <w:r>
        <w:rPr>
          <w:rFonts w:hint="default" w:ascii="Arial Regular" w:hAnsi="Arial Regular" w:cs="Arial Regular"/>
        </w:rPr>
        <w:t xml:space="preserve">). For the standard curve, slope, intercept, </w:t>
      </w:r>
      <m:oMath>
        <m:sSup>
          <m:sSupPr>
            <m:ctrlPr>
              <w:rPr>
                <w:rFonts w:hint="default" w:ascii="DejaVu Math TeX Gyre" w:hAnsi="DejaVu Math TeX Gyre" w:cs="Arial Regular"/>
              </w:rPr>
            </m:ctrlPr>
          </m:sSupPr>
          <m:e>
            <m:r>
              <m:rPr/>
              <w:rPr>
                <w:rFonts w:hint="default" w:ascii="DejaVu Math TeX Gyre" w:hAnsi="DejaVu Math TeX Gyre" w:cs="Arial Regular"/>
              </w:rPr>
              <m:t>R</m:t>
            </m:r>
            <m:ctrlPr>
              <w:rPr>
                <w:rFonts w:hint="default" w:ascii="DejaVu Math TeX Gyre" w:hAnsi="DejaVu Math TeX Gyre" w:cs="Arial Regular"/>
              </w:rPr>
            </m:ctrlPr>
          </m:e>
          <m:sup>
            <m:r>
              <m:rPr/>
              <w:rPr>
                <w:rFonts w:hint="default" w:ascii="DejaVu Math TeX Gyre" w:hAnsi="DejaVu Math TeX Gyre" w:cs="Arial Regular"/>
              </w:rPr>
              <m:t>2</m:t>
            </m:r>
            <m:ctrlPr>
              <w:rPr>
                <w:rFonts w:hint="default" w:ascii="DejaVu Math TeX Gyre" w:hAnsi="DejaVu Math TeX Gyre" w:cs="Arial Regular"/>
              </w:rPr>
            </m:ctrlPr>
          </m:sup>
        </m:sSup>
      </m:oMath>
      <w:r>
        <w:rPr>
          <w:rFonts w:hint="default" w:ascii="Arial Regular" w:hAnsi="Arial Regular" w:cs="Arial Regular"/>
        </w:rPr>
        <w:t xml:space="preserve">, and efficiency agreed to within </w:t>
      </w:r>
      <m:oMath>
        <m:r>
          <m:rPr/>
          <w:rPr>
            <w:rFonts w:hint="default" w:ascii="DejaVu Math TeX Gyre" w:hAnsi="DejaVu Math TeX Gyre" w:cs="Arial Regular"/>
          </w:rPr>
          <m:t>2.5</m:t>
        </m:r>
        <m:r>
          <m:rPr>
            <m:sty m:val="p"/>
          </m:rPr>
          <w:rPr>
            <w:rFonts w:hint="default" w:ascii="DejaVu Math TeX Gyre" w:hAnsi="DejaVu Math TeX Gyre" w:cs="Arial Regular"/>
          </w:rPr>
          <m:t>×</m:t>
        </m:r>
        <m:sSup>
          <m:sSupPr>
            <m:ctrlPr>
              <w:rPr>
                <w:rFonts w:hint="default" w:ascii="DejaVu Math TeX Gyre" w:hAnsi="DejaVu Math TeX Gyre" w:cs="Arial Regular"/>
              </w:rPr>
            </m:ctrlPr>
          </m:sSupPr>
          <m:e>
            <m:r>
              <m:rPr/>
              <w:rPr>
                <w:rFonts w:hint="default" w:ascii="DejaVu Math TeX Gyre" w:hAnsi="DejaVu Math TeX Gyre" w:cs="Arial Regular"/>
              </w:rPr>
              <m:t>10</m:t>
            </m:r>
            <m:ctrlPr>
              <w:rPr>
                <w:rFonts w:hint="default" w:ascii="DejaVu Math TeX Gyre" w:hAnsi="DejaVu Math TeX Gyre" w:cs="Arial Regular"/>
              </w:rPr>
            </m:ctrlPr>
          </m:e>
          <m:sup>
            <m:r>
              <m:rPr>
                <m:sty m:val="p"/>
              </m:rPr>
              <w:rPr>
                <w:rFonts w:hint="default" w:ascii="DejaVu Math TeX Gyre" w:hAnsi="DejaVu Math TeX Gyre" w:cs="Arial Regular"/>
              </w:rPr>
              <m:t>−</m:t>
            </m:r>
            <m:r>
              <m:rPr/>
              <w:rPr>
                <w:rFonts w:hint="default" w:ascii="DejaVu Math TeX Gyre" w:hAnsi="DejaVu Math TeX Gyre" w:cs="Arial Regular"/>
              </w:rPr>
              <m:t>3</m:t>
            </m:r>
            <m:ctrlPr>
              <w:rPr>
                <w:rFonts w:hint="default" w:ascii="DejaVu Math TeX Gyre" w:hAnsi="DejaVu Math TeX Gyre" w:cs="Arial Regular"/>
              </w:rPr>
            </m:ctrlPr>
          </m:sup>
        </m:sSup>
      </m:oMath>
      <w:r>
        <w:rPr>
          <w:rFonts w:hint="default" w:ascii="Arial Regular" w:hAnsi="Arial Regular" w:cs="Arial Regular"/>
        </w:rPr>
        <w:t xml:space="preserve"> relative difference; the residual is attributable to the R package rounding its tabulated output to two to four decimal places, since the underlying </w:t>
      </w:r>
      <m:oMath>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q</m:t>
            </m:r>
            <m:ctrlPr>
              <w:rPr>
                <w:rFonts w:hint="default" w:ascii="DejaVu Math TeX Gyre" w:hAnsi="DejaVu Math TeX Gyre" w:cs="Arial Regular"/>
              </w:rPr>
            </m:ctrlPr>
          </m:sub>
        </m:sSub>
      </m:oMath>
      <w:r>
        <w:rPr>
          <w:rFonts w:hint="default" w:ascii="Arial Regular" w:hAnsi="Arial Regular" w:cs="Arial Regular"/>
        </w:rPr>
        <w:t xml:space="preserve"> inputs are identical. Plotting every C++ result against its R counterpart, all points fall on the line </w:t>
      </w:r>
      <m:oMath>
        <m:r>
          <m:rPr/>
          <w:rPr>
            <w:rFonts w:hint="default" w:ascii="DejaVu Math TeX Gyre" w:hAnsi="DejaVu Math TeX Gyre" w:cs="Arial Regular"/>
          </w:rPr>
          <m:t>y</m:t>
        </m:r>
        <m:r>
          <m:rPr>
            <m:sty m:val="p"/>
          </m:rPr>
          <w:rPr>
            <w:rFonts w:hint="default" w:ascii="DejaVu Math TeX Gyre" w:hAnsi="DejaVu Math TeX Gyre" w:cs="Arial Regular"/>
          </w:rPr>
          <m:t>=</m:t>
        </m:r>
        <m:r>
          <m:rPr/>
          <w:rPr>
            <w:rFonts w:hint="default" w:ascii="DejaVu Math TeX Gyre" w:hAnsi="DejaVu Math TeX Gyre" w:cs="Arial Regular"/>
          </w:rPr>
          <m:t>x</m:t>
        </m:r>
      </m:oMath>
      <w:r>
        <w:rPr>
          <w:rFonts w:hint="default" w:ascii="Arial Regular" w:hAnsi="Arial Regular" w:cs="Arial Regular"/>
        </w:rPr>
        <w:t xml:space="preserve"> (Figure </w:t>
      </w:r>
      <w:r>
        <w:rPr>
          <w:rFonts w:hint="default" w:ascii="Arial Regular" w:hAnsi="Arial Regular" w:cs="Arial Regular"/>
        </w:rPr>
        <w:fldChar w:fldCharType="begin"/>
      </w:r>
      <w:r>
        <w:rPr>
          <w:rFonts w:hint="default" w:ascii="Arial Regular" w:hAnsi="Arial Regular" w:cs="Arial Regular"/>
        </w:rPr>
        <w:instrText xml:space="preserve"> HYPERLINK \l "fig:equivalence" \h </w:instrText>
      </w:r>
      <w:r>
        <w:rPr>
          <w:rFonts w:hint="default" w:ascii="Arial Regular" w:hAnsi="Arial Regular" w:cs="Arial Regular"/>
        </w:rPr>
        <w:fldChar w:fldCharType="separate"/>
      </w:r>
      <w:r>
        <w:rPr>
          <w:rStyle w:val="20"/>
          <w:rFonts w:hint="default" w:ascii="Arial Regular" w:hAnsi="Arial Regular" w:cs="Arial Regular"/>
        </w:rPr>
        <w:t>3</w:t>
      </w:r>
      <w:r>
        <w:rPr>
          <w:rStyle w:val="20"/>
          <w:rFonts w:hint="default" w:ascii="Arial Regular" w:hAnsi="Arial Regular" w:cs="Arial Regular"/>
        </w:rPr>
        <w:fldChar w:fldCharType="end"/>
      </w:r>
      <w:r>
        <w:rPr>
          <w:rFonts w:hint="default" w:ascii="Arial Regular" w:hAnsi="Arial Regular" w:cs="Arial Regular"/>
        </w:rPr>
        <w:t xml:space="preserve">). These results confirm that the C++ reimplementation preserves the analytical behavior of the R package across all shared methods. The validation is fully reproducible from the open scripts in </w:t>
      </w:r>
      <w:r>
        <w:rPr>
          <w:rStyle w:val="48"/>
          <w:rFonts w:hint="default" w:ascii="Arial Regular" w:hAnsi="Arial Regular" w:cs="Arial Regular"/>
        </w:rPr>
        <w:t>validation/</w:t>
      </w:r>
      <w:r>
        <w:rPr>
          <w:rFonts w:hint="default" w:ascii="Arial Regular" w:hAnsi="Arial Regular" w:cs="Arial Regular"/>
        </w:rPr>
        <w:t xml:space="preserve"> (see Availability).</w:t>
      </w:r>
    </w:p>
    <w:p w14:paraId="241ABD08">
      <w:pPr>
        <w:pStyle w:val="47"/>
        <w:jc w:val="center"/>
        <w:rPr>
          <w:rFonts w:hint="default" w:ascii="Arial Regular" w:hAnsi="Arial Regular" w:cs="Arial Regular"/>
        </w:rPr>
      </w:pPr>
      <w:bookmarkStart w:id="12" w:name="fig:equivalence"/>
      <w:r>
        <w:rPr>
          <w:rFonts w:hint="default" w:ascii="Arial Regular" w:hAnsi="Arial Regular" w:cs="Arial Regular"/>
        </w:rPr>
        <w:drawing>
          <wp:inline distT="0" distB="0" distL="114300" distR="114300">
            <wp:extent cx="3733800" cy="373380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7"/>
                    <a:stretch>
                      <a:fillRect/>
                    </a:stretch>
                  </pic:blipFill>
                  <pic:spPr>
                    <a:xfrm>
                      <a:off x="0" y="0"/>
                      <a:ext cx="3733800" cy="3733800"/>
                    </a:xfrm>
                    <a:prstGeom prst="rect">
                      <a:avLst/>
                    </a:prstGeom>
                    <a:noFill/>
                    <a:ln w="9525">
                      <a:noFill/>
                    </a:ln>
                  </pic:spPr>
                </pic:pic>
              </a:graphicData>
            </a:graphic>
          </wp:inline>
        </w:drawing>
      </w:r>
    </w:p>
    <w:p w14:paraId="70854F4E">
      <w:pPr>
        <w:pStyle w:val="45"/>
        <w:rPr>
          <w:rFonts w:hint="default" w:ascii="Arial Regular" w:hAnsi="Arial Regular" w:cs="Arial Regular"/>
        </w:rPr>
      </w:pPr>
      <w:r>
        <w:rPr>
          <w:rFonts w:hint="default" w:ascii="Arial Regular" w:hAnsi="Arial Regular" w:cs="Arial Regular"/>
        </w:rPr>
        <w:t>Numerical equivalence of the C++ implementation and the R package. Each C++ result is plotted against the corresponding R result across all shared methods (</w:t>
      </w:r>
      <m:oMath>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oMath>
      <w:r>
        <w:rPr>
          <w:rFonts w:hint="default" w:ascii="Arial Regular" w:hAnsi="Arial Regular" w:cs="Arial Regular"/>
        </w:rPr>
        <w:t xml:space="preserve">, standard curve, RqPCR); all points fall on the </w:t>
      </w:r>
      <m:oMath>
        <m:r>
          <m:rPr/>
          <w:rPr>
            <w:rFonts w:hint="default" w:ascii="DejaVu Math TeX Gyre" w:hAnsi="DejaVu Math TeX Gyre" w:cs="Arial Regular"/>
          </w:rPr>
          <m:t>y</m:t>
        </m:r>
        <m:r>
          <m:rPr>
            <m:sty m:val="p"/>
          </m:rPr>
          <w:rPr>
            <w:rFonts w:hint="default" w:ascii="DejaVu Math TeX Gyre" w:hAnsi="DejaVu Math TeX Gyre" w:cs="Arial Regular"/>
          </w:rPr>
          <m:t>=</m:t>
        </m:r>
        <m:r>
          <m:rPr/>
          <w:rPr>
            <w:rFonts w:hint="default" w:ascii="DejaVu Math TeX Gyre" w:hAnsi="DejaVu Math TeX Gyre" w:cs="Arial Regular"/>
          </w:rPr>
          <m:t>x</m:t>
        </m:r>
      </m:oMath>
      <w:r>
        <w:rPr>
          <w:rFonts w:hint="default" w:ascii="Arial Regular" w:hAnsi="Arial Regular" w:cs="Arial Regular"/>
        </w:rPr>
        <w:t xml:space="preserve"> line.</w:t>
      </w:r>
    </w:p>
    <w:bookmarkEnd w:id="7"/>
    <w:bookmarkEnd w:id="10"/>
    <w:bookmarkEnd w:id="12"/>
    <w:p w14:paraId="2E22D309">
      <w:pPr>
        <w:pStyle w:val="2"/>
        <w:rPr>
          <w:rFonts w:hint="default" w:ascii="Arial Regular" w:hAnsi="Arial Regular" w:cs="Arial Regular"/>
        </w:rPr>
      </w:pPr>
      <w:bookmarkStart w:id="13" w:name="availability"/>
      <w:r>
        <w:rPr>
          <w:rFonts w:hint="default" w:ascii="Arial Regular" w:hAnsi="Arial Regular" w:cs="Arial Regular"/>
        </w:rPr>
        <w:t>Availability</w:t>
      </w:r>
    </w:p>
    <w:p w14:paraId="35A53176">
      <w:pPr>
        <w:pStyle w:val="23"/>
        <w:rPr>
          <w:rFonts w:hint="default" w:ascii="Arial Regular" w:hAnsi="Arial Regular" w:cs="Arial Regular"/>
        </w:rPr>
      </w:pPr>
      <w:r>
        <w:rPr>
          <w:rFonts w:hint="default" w:ascii="Arial Regular" w:hAnsi="Arial Regular" w:cs="Arial Regular"/>
        </w:rPr>
        <w:t xml:space="preserve">The source code and pre-built binaries for Windows and macOS are available at </w:t>
      </w:r>
      <w:r>
        <w:rPr>
          <w:rFonts w:hint="default" w:ascii="Arial Regular" w:hAnsi="Arial Regular" w:cs="Arial Regular"/>
        </w:rPr>
        <w:fldChar w:fldCharType="begin"/>
      </w:r>
      <w:r>
        <w:rPr>
          <w:rFonts w:hint="default" w:ascii="Arial Regular" w:hAnsi="Arial Regular" w:cs="Arial Regular"/>
        </w:rPr>
        <w:instrText xml:space="preserve"> HYPERLINK "https://github.com/lixiang117423/qPCRtools_cpp" \h </w:instrText>
      </w:r>
      <w:r>
        <w:rPr>
          <w:rFonts w:hint="default" w:ascii="Arial Regular" w:hAnsi="Arial Regular" w:cs="Arial Regular"/>
        </w:rPr>
        <w:fldChar w:fldCharType="separate"/>
      </w:r>
      <w:r>
        <w:rPr>
          <w:rStyle w:val="20"/>
          <w:rFonts w:hint="default" w:ascii="Arial Regular" w:hAnsi="Arial Regular" w:cs="Arial Regular"/>
        </w:rPr>
        <w:t>https://github.com/lixiang117423/</w:t>
      </w:r>
      <w:r>
        <w:rPr>
          <w:rStyle w:val="20"/>
          <w:rFonts w:hint="eastAsia" w:ascii="Arial Regular" w:hAnsi="Arial Regular" w:cs="Arial Regular"/>
          <w:lang w:eastAsia="zh-CN"/>
        </w:rPr>
        <w:t>qPCRtools2</w:t>
      </w:r>
      <w:r>
        <w:rPr>
          <w:rStyle w:val="20"/>
          <w:rFonts w:hint="default" w:ascii="Arial Regular" w:hAnsi="Arial Regular" w:cs="Arial Regular"/>
        </w:rPr>
        <w:t>_cpp</w:t>
      </w:r>
      <w:r>
        <w:rPr>
          <w:rStyle w:val="20"/>
          <w:rFonts w:hint="default" w:ascii="Arial Regular" w:hAnsi="Arial Regular" w:cs="Arial Regular"/>
        </w:rPr>
        <w:fldChar w:fldCharType="end"/>
      </w:r>
      <w:r>
        <w:rPr>
          <w:rFonts w:hint="default" w:ascii="Arial Regular" w:hAnsi="Arial Regular" w:cs="Arial Regular"/>
        </w:rPr>
        <w:t xml:space="preserve"> under the MIT license. The repository includes documentation, a unit-test suite, example datasets, and a fully reproducible equivalence-validation package (</w:t>
      </w:r>
      <w:r>
        <w:rPr>
          <w:rStyle w:val="48"/>
          <w:rFonts w:hint="default" w:ascii="Arial Regular" w:hAnsi="Arial Regular" w:cs="Arial Regular"/>
        </w:rPr>
        <w:t>validation/</w:t>
      </w:r>
      <w:r>
        <w:rPr>
          <w:rFonts w:hint="default" w:ascii="Arial Regular" w:hAnsi="Arial Regular" w:cs="Arial Regular"/>
        </w:rPr>
        <w:t xml:space="preserve">) comprising the R script, a C++ command-line driver linked against </w:t>
      </w:r>
      <w:r>
        <w:rPr>
          <w:rStyle w:val="48"/>
          <w:rFonts w:hint="default" w:ascii="Arial Regular" w:hAnsi="Arial Regular" w:cs="Arial Regular"/>
        </w:rPr>
        <w:t>qpcr_core</w:t>
      </w:r>
      <w:r>
        <w:rPr>
          <w:rFonts w:hint="default" w:ascii="Arial Regular" w:hAnsi="Arial Regular" w:cs="Arial Regular"/>
        </w:rPr>
        <w:t>, and a comparison script that regenerates all validation outputs and figures. The project builds with CMake (</w:t>
      </w:r>
      <m:oMath>
        <m:r>
          <m:rPr>
            <m:sty m:val="p"/>
          </m:rPr>
          <w:rPr>
            <w:rFonts w:hint="default" w:ascii="DejaVu Math TeX Gyre" w:hAnsi="DejaVu Math TeX Gyre" w:cs="Arial Regular"/>
          </w:rPr>
          <m:t>≥</m:t>
        </m:r>
      </m:oMath>
      <w:r>
        <w:rPr>
          <w:rFonts w:hint="default" w:ascii="Arial Regular" w:hAnsi="Arial Regular" w:cs="Arial Regular"/>
        </w:rPr>
        <w:t> 3.20), requires a C++17 compiler and Qt 6 (</w:t>
      </w:r>
      <m:oMath>
        <m:r>
          <m:rPr>
            <m:sty m:val="p"/>
          </m:rPr>
          <w:rPr>
            <w:rFonts w:hint="default" w:ascii="DejaVu Math TeX Gyre" w:hAnsi="DejaVu Math TeX Gyre" w:cs="Arial Regular"/>
          </w:rPr>
          <m:t>≥</m:t>
        </m:r>
      </m:oMath>
      <w:r>
        <w:rPr>
          <w:rFonts w:hint="default" w:ascii="Arial Regular" w:hAnsi="Arial Regular" w:cs="Arial Regular"/>
        </w:rPr>
        <w:t> 6.5) with the WebEngine and WebChannel modules, and optionally links Eigen3 and GSL.</w:t>
      </w:r>
    </w:p>
    <w:bookmarkEnd w:id="13"/>
    <w:p w14:paraId="5A355CF5">
      <w:pPr>
        <w:pStyle w:val="2"/>
        <w:rPr>
          <w:rFonts w:hint="default" w:ascii="Arial Regular" w:hAnsi="Arial Regular" w:cs="Arial Regular"/>
        </w:rPr>
      </w:pPr>
      <w:bookmarkStart w:id="14" w:name="authors-contributions"/>
      <w:r>
        <w:rPr>
          <w:rFonts w:hint="default" w:ascii="Arial Regular" w:hAnsi="Arial Regular" w:cs="Arial Regular"/>
        </w:rPr>
        <w:t>Authors’ contributions</w:t>
      </w:r>
    </w:p>
    <w:p w14:paraId="2BB6AD42">
      <w:pPr>
        <w:pStyle w:val="23"/>
        <w:rPr>
          <w:rFonts w:hint="default" w:ascii="Arial Regular" w:hAnsi="Arial Regular" w:cs="Arial Regular"/>
        </w:rPr>
      </w:pPr>
      <w:r>
        <w:rPr>
          <w:rFonts w:hint="default" w:ascii="Arial Regular" w:hAnsi="Arial Regular" w:cs="Arial Regular"/>
        </w:rPr>
        <w:t>X.L. conceived and designed the software, implemented the C++ codebase, performed the equivalence validation, and wrote the manuscript.</w:t>
      </w:r>
    </w:p>
    <w:bookmarkEnd w:id="14"/>
    <w:p w14:paraId="2A57F2B4">
      <w:pPr>
        <w:pStyle w:val="2"/>
        <w:rPr>
          <w:rFonts w:hint="default" w:ascii="Arial Regular" w:hAnsi="Arial Regular" w:cs="Arial Regular" w:eastAsiaTheme="majorEastAsia"/>
          <w:lang w:eastAsia="zh-CN"/>
        </w:rPr>
      </w:pPr>
      <w:bookmarkStart w:id="15" w:name="acknowledgements"/>
      <w:r>
        <w:rPr>
          <w:rFonts w:hint="default" w:ascii="Arial Regular" w:hAnsi="Arial Regular" w:cs="Arial Regular"/>
          <w:lang w:eastAsia="zh-CN"/>
        </w:rPr>
        <w:t>Acknowledgement</w:t>
      </w:r>
    </w:p>
    <w:p w14:paraId="61DCF7D9">
      <w:pPr>
        <w:pStyle w:val="23"/>
        <w:rPr>
          <w:rFonts w:hint="default" w:ascii="Arial Regular" w:hAnsi="Arial Regular" w:cs="Arial Regular"/>
        </w:rPr>
      </w:pPr>
      <w:r>
        <w:rPr>
          <w:rFonts w:hint="default" w:ascii="Arial Regular" w:hAnsi="Arial Regular" w:cs="Arial Regular"/>
        </w:rPr>
        <w:t>The author thanks the developers of the R packages and libraries on which this work builds, and the users who provided feedback during development.</w:t>
      </w:r>
    </w:p>
    <w:bookmarkEnd w:id="15"/>
    <w:p w14:paraId="3684CE5D">
      <w:pPr>
        <w:pStyle w:val="2"/>
        <w:rPr>
          <w:rFonts w:hint="default" w:ascii="Arial Regular" w:hAnsi="Arial Regular" w:cs="Arial Regular"/>
        </w:rPr>
      </w:pPr>
      <w:bookmarkStart w:id="16" w:name="funding"/>
      <w:r>
        <w:rPr>
          <w:rFonts w:hint="default" w:ascii="Arial Regular" w:hAnsi="Arial Regular" w:cs="Arial Regular"/>
        </w:rPr>
        <w:t>Funding</w:t>
      </w:r>
    </w:p>
    <w:p w14:paraId="1415CFEF">
      <w:pPr>
        <w:pStyle w:val="23"/>
        <w:rPr>
          <w:rFonts w:hint="default" w:ascii="Arial Regular" w:hAnsi="Arial Regular" w:cs="Arial Regular"/>
        </w:rPr>
      </w:pPr>
      <w:r>
        <w:rPr>
          <w:rFonts w:hint="default" w:ascii="Arial Regular" w:hAnsi="Arial Regular" w:cs="Arial Regular"/>
        </w:rPr>
        <w:t>This work was supported by the National Key R&amp;D Program of China (2021YFD1000200), the National Natural Science Foundation of China (31801792, 31960554), and the Fok Ying Tung Education Foundation.</w:t>
      </w:r>
    </w:p>
    <w:bookmarkEnd w:id="16"/>
    <w:p w14:paraId="616692F1">
      <w:pPr>
        <w:pStyle w:val="2"/>
        <w:rPr>
          <w:rFonts w:hint="default" w:ascii="Arial Regular" w:hAnsi="Arial Regular" w:cs="Arial Regular"/>
        </w:rPr>
      </w:pPr>
      <w:bookmarkStart w:id="17" w:name="conflict-of-interest"/>
      <w:r>
        <w:rPr>
          <w:rFonts w:hint="default" w:ascii="Arial Regular" w:hAnsi="Arial Regular" w:cs="Arial Regular"/>
        </w:rPr>
        <w:t>Conflict of interest</w:t>
      </w:r>
    </w:p>
    <w:p w14:paraId="4C4729D3">
      <w:pPr>
        <w:pStyle w:val="23"/>
        <w:rPr>
          <w:rFonts w:hint="default" w:ascii="Arial Regular" w:hAnsi="Arial Regular" w:cs="Arial Regular"/>
        </w:rPr>
      </w:pPr>
      <w:r>
        <w:rPr>
          <w:rFonts w:hint="default" w:ascii="Arial Regular" w:hAnsi="Arial Regular" w:cs="Arial Regular"/>
        </w:rPr>
        <w:t>The author declares no competing interests.</w:t>
      </w:r>
    </w:p>
    <w:p w14:paraId="57F63AAF">
      <w:pPr>
        <w:pStyle w:val="2"/>
        <w:rPr>
          <w:rFonts w:hint="default" w:ascii="Arial Regular" w:hAnsi="Arial Regular" w:cs="Arial Regular"/>
        </w:rPr>
      </w:pPr>
      <w:r>
        <w:rPr>
          <w:rFonts w:hint="default" w:ascii="Arial Regular" w:hAnsi="Arial Regular" w:cs="Arial Regular"/>
          <w:lang w:val="en-US" w:eastAsia="zh-CN"/>
        </w:rPr>
        <w:t>References</w:t>
      </w:r>
    </w:p>
    <w:p w14:paraId="4240E20B">
      <w:pPr>
        <w:pStyle w:val="30"/>
        <w:rPr>
          <w:rFonts w:hint="default" w:ascii="Arial Regular" w:hAnsi="Arial Regular" w:cs="Arial Regular"/>
        </w:rPr>
      </w:pPr>
      <w:bookmarkStart w:id="18" w:name="ref-ahmed2018pcr"/>
      <w:bookmarkStart w:id="19" w:name="refs"/>
      <w:r>
        <w:rPr>
          <w:rFonts w:hint="default" w:ascii="Arial Regular" w:hAnsi="Arial Regular" w:cs="Arial Regular"/>
        </w:rPr>
        <w:t xml:space="preserve">Ahmed, Mohaned, and Dae- Ryong Kim. 2018. “pcr: An R Package for Quality Assessment, Analysis and Testing of qPCR Data.” </w:t>
      </w:r>
      <w:r>
        <w:rPr>
          <w:rFonts w:hint="default" w:ascii="Arial Regular" w:hAnsi="Arial Regular" w:cs="Arial Regular"/>
          <w:i/>
          <w:iCs/>
        </w:rPr>
        <w:t>PeerJ</w:t>
      </w:r>
      <w:r>
        <w:rPr>
          <w:rFonts w:hint="default" w:ascii="Arial Regular" w:hAnsi="Arial Regular" w:cs="Arial Regular"/>
        </w:rPr>
        <w:t xml:space="preserve"> 6: e4473. </w:t>
      </w:r>
      <w:r>
        <w:rPr>
          <w:rFonts w:hint="default" w:ascii="Arial Regular" w:hAnsi="Arial Regular" w:cs="Arial Regular"/>
        </w:rPr>
        <w:fldChar w:fldCharType="begin"/>
      </w:r>
      <w:r>
        <w:rPr>
          <w:rFonts w:hint="default" w:ascii="Arial Regular" w:hAnsi="Arial Regular" w:cs="Arial Regular"/>
        </w:rPr>
        <w:instrText xml:space="preserve"> HYPERLINK "https://doi.org/10.7717/peerj.4473" \h </w:instrText>
      </w:r>
      <w:r>
        <w:rPr>
          <w:rFonts w:hint="default" w:ascii="Arial Regular" w:hAnsi="Arial Regular" w:cs="Arial Regular"/>
        </w:rPr>
        <w:fldChar w:fldCharType="separate"/>
      </w:r>
      <w:r>
        <w:rPr>
          <w:rStyle w:val="20"/>
          <w:rFonts w:hint="default" w:ascii="Arial Regular" w:hAnsi="Arial Regular" w:cs="Arial Regular"/>
        </w:rPr>
        <w:t>https://doi.org/10.7717/peerj.4473</w:t>
      </w:r>
      <w:r>
        <w:rPr>
          <w:rStyle w:val="20"/>
          <w:rFonts w:hint="default" w:ascii="Arial Regular" w:hAnsi="Arial Regular" w:cs="Arial Regular"/>
        </w:rPr>
        <w:fldChar w:fldCharType="end"/>
      </w:r>
      <w:r>
        <w:rPr>
          <w:rFonts w:hint="default" w:ascii="Arial Regular" w:hAnsi="Arial Regular" w:cs="Arial Regular"/>
        </w:rPr>
        <w:t>.</w:t>
      </w:r>
    </w:p>
    <w:bookmarkEnd w:id="18"/>
    <w:p w14:paraId="0DC09894">
      <w:pPr>
        <w:pStyle w:val="30"/>
        <w:rPr>
          <w:rFonts w:hint="default" w:ascii="Arial Regular" w:hAnsi="Arial Regular" w:cs="Arial Regular"/>
        </w:rPr>
      </w:pPr>
      <w:bookmarkStart w:id="20" w:name="ref-echarts"/>
      <w:r>
        <w:rPr>
          <w:rFonts w:hint="default" w:ascii="Arial Regular" w:hAnsi="Arial Regular" w:cs="Arial Regular"/>
        </w:rPr>
        <w:t xml:space="preserve">Apache Software Foundation. 2024. </w:t>
      </w:r>
      <w:r>
        <w:rPr>
          <w:rFonts w:hint="default" w:ascii="Arial Regular" w:hAnsi="Arial Regular" w:cs="Arial Regular"/>
          <w:i/>
          <w:iCs/>
        </w:rPr>
        <w:t>Apache ECharts: A Declarative Framework for Rapid Construction of Web-Based Visualization</w:t>
      </w:r>
      <w:r>
        <w:rPr>
          <w:rFonts w:hint="default" w:ascii="Arial Regular" w:hAnsi="Arial Regular" w:cs="Arial Regular"/>
        </w:rPr>
        <w:t xml:space="preserve">. </w:t>
      </w:r>
      <w:r>
        <w:rPr>
          <w:rFonts w:hint="default" w:ascii="Arial Regular" w:hAnsi="Arial Regular" w:cs="Arial Regular"/>
        </w:rPr>
        <w:fldChar w:fldCharType="begin"/>
      </w:r>
      <w:r>
        <w:rPr>
          <w:rFonts w:hint="default" w:ascii="Arial Regular" w:hAnsi="Arial Regular" w:cs="Arial Regular"/>
        </w:rPr>
        <w:instrText xml:space="preserve"> HYPERLINK "https://echarts.apache.org/" \h </w:instrText>
      </w:r>
      <w:r>
        <w:rPr>
          <w:rFonts w:hint="default" w:ascii="Arial Regular" w:hAnsi="Arial Regular" w:cs="Arial Regular"/>
        </w:rPr>
        <w:fldChar w:fldCharType="separate"/>
      </w:r>
      <w:r>
        <w:rPr>
          <w:rStyle w:val="20"/>
          <w:rFonts w:hint="default" w:ascii="Arial Regular" w:hAnsi="Arial Regular" w:cs="Arial Regular"/>
        </w:rPr>
        <w:t>Https://echarts.apache.org/</w:t>
      </w:r>
      <w:r>
        <w:rPr>
          <w:rStyle w:val="20"/>
          <w:rFonts w:hint="default" w:ascii="Arial Regular" w:hAnsi="Arial Regular" w:cs="Arial Regular"/>
        </w:rPr>
        <w:fldChar w:fldCharType="end"/>
      </w:r>
      <w:r>
        <w:rPr>
          <w:rFonts w:hint="default" w:ascii="Arial Regular" w:hAnsi="Arial Regular" w:cs="Arial Regular"/>
        </w:rPr>
        <w:t>.</w:t>
      </w:r>
    </w:p>
    <w:bookmarkEnd w:id="20"/>
    <w:p w14:paraId="34C716A2">
      <w:pPr>
        <w:pStyle w:val="30"/>
        <w:rPr>
          <w:rFonts w:hint="default" w:ascii="Arial Regular" w:hAnsi="Arial Regular" w:cs="Arial Regular"/>
        </w:rPr>
      </w:pPr>
      <w:bookmarkStart w:id="21" w:name="ref-bustin2010miqe"/>
      <w:r>
        <w:rPr>
          <w:rFonts w:hint="default" w:ascii="Arial Regular" w:hAnsi="Arial Regular" w:cs="Arial Regular"/>
        </w:rPr>
        <w:t xml:space="preserve">Bustin, Stephen A., Jean-François Beaulieu, Jim Huggett, et al. 2010. “MIQE Précis: Practical Implementation of Minimum Standard Guidelines for Fluorescence-Based Quantitative Real-Time PCR Experiments.” </w:t>
      </w:r>
      <w:r>
        <w:rPr>
          <w:rFonts w:hint="default" w:ascii="Arial Regular" w:hAnsi="Arial Regular" w:cs="Arial Regular"/>
          <w:i/>
          <w:iCs/>
        </w:rPr>
        <w:t>BMC Molecular Biology</w:t>
      </w:r>
      <w:r>
        <w:rPr>
          <w:rFonts w:hint="default" w:ascii="Arial Regular" w:hAnsi="Arial Regular" w:cs="Arial Regular"/>
        </w:rPr>
        <w:t xml:space="preserve"> 11: 74. </w:t>
      </w:r>
      <w:r>
        <w:rPr>
          <w:rFonts w:hint="default" w:ascii="Arial Regular" w:hAnsi="Arial Regular" w:cs="Arial Regular"/>
        </w:rPr>
        <w:fldChar w:fldCharType="begin"/>
      </w:r>
      <w:r>
        <w:rPr>
          <w:rFonts w:hint="default" w:ascii="Arial Regular" w:hAnsi="Arial Regular" w:cs="Arial Regular"/>
        </w:rPr>
        <w:instrText xml:space="preserve"> HYPERLINK "https://doi.org/10.1186/1471-2199-11-74" \h </w:instrText>
      </w:r>
      <w:r>
        <w:rPr>
          <w:rFonts w:hint="default" w:ascii="Arial Regular" w:hAnsi="Arial Regular" w:cs="Arial Regular"/>
        </w:rPr>
        <w:fldChar w:fldCharType="separate"/>
      </w:r>
      <w:r>
        <w:rPr>
          <w:rStyle w:val="20"/>
          <w:rFonts w:hint="default" w:ascii="Arial Regular" w:hAnsi="Arial Regular" w:cs="Arial Regular"/>
        </w:rPr>
        <w:t>https://doi.org/10.1186/1471-2199-11-74</w:t>
      </w:r>
      <w:r>
        <w:rPr>
          <w:rStyle w:val="20"/>
          <w:rFonts w:hint="default" w:ascii="Arial Regular" w:hAnsi="Arial Regular" w:cs="Arial Regular"/>
        </w:rPr>
        <w:fldChar w:fldCharType="end"/>
      </w:r>
      <w:r>
        <w:rPr>
          <w:rFonts w:hint="default" w:ascii="Arial Regular" w:hAnsi="Arial Regular" w:cs="Arial Regular"/>
        </w:rPr>
        <w:t>.</w:t>
      </w:r>
    </w:p>
    <w:bookmarkEnd w:id="21"/>
    <w:p w14:paraId="7FCC8D78">
      <w:pPr>
        <w:pStyle w:val="30"/>
        <w:rPr>
          <w:rFonts w:hint="default" w:ascii="Arial Regular" w:hAnsi="Arial Regular" w:cs="Arial Regular"/>
        </w:rPr>
      </w:pPr>
      <w:bookmarkStart w:id="22" w:name="ref-bustin2009miqe"/>
      <w:r>
        <w:rPr>
          <w:rFonts w:hint="default" w:ascii="Arial Regular" w:hAnsi="Arial Regular" w:cs="Arial Regular"/>
        </w:rPr>
        <w:t xml:space="preserve">Bustin, Stephen A., Vladimir Benes, Jeremy A. Garson, et al. 2009. “The MIQE Guidelines: Minimum Information for Publication of Quantitative Real-Time PCR Experiments.” </w:t>
      </w:r>
      <w:r>
        <w:rPr>
          <w:rFonts w:hint="default" w:ascii="Arial Regular" w:hAnsi="Arial Regular" w:cs="Arial Regular"/>
          <w:i/>
          <w:iCs/>
        </w:rPr>
        <w:t>Clinical Chemistry</w:t>
      </w:r>
      <w:r>
        <w:rPr>
          <w:rFonts w:hint="default" w:ascii="Arial Regular" w:hAnsi="Arial Regular" w:cs="Arial Regular"/>
        </w:rPr>
        <w:t xml:space="preserve"> 55 (4): 611–22. </w:t>
      </w:r>
      <w:r>
        <w:rPr>
          <w:rFonts w:hint="default" w:ascii="Arial Regular" w:hAnsi="Arial Regular" w:cs="Arial Regular"/>
        </w:rPr>
        <w:fldChar w:fldCharType="begin"/>
      </w:r>
      <w:r>
        <w:rPr>
          <w:rFonts w:hint="default" w:ascii="Arial Regular" w:hAnsi="Arial Regular" w:cs="Arial Regular"/>
        </w:rPr>
        <w:instrText xml:space="preserve"> HYPERLINK "https://doi.org/10.1373/clinchem.2008.112797" \h </w:instrText>
      </w:r>
      <w:r>
        <w:rPr>
          <w:rFonts w:hint="default" w:ascii="Arial Regular" w:hAnsi="Arial Regular" w:cs="Arial Regular"/>
        </w:rPr>
        <w:fldChar w:fldCharType="separate"/>
      </w:r>
      <w:r>
        <w:rPr>
          <w:rStyle w:val="20"/>
          <w:rFonts w:hint="default" w:ascii="Arial Regular" w:hAnsi="Arial Regular" w:cs="Arial Regular"/>
        </w:rPr>
        <w:t>https://doi.org/10.1373/clinchem.2008.112797</w:t>
      </w:r>
      <w:r>
        <w:rPr>
          <w:rStyle w:val="20"/>
          <w:rFonts w:hint="default" w:ascii="Arial Regular" w:hAnsi="Arial Regular" w:cs="Arial Regular"/>
        </w:rPr>
        <w:fldChar w:fldCharType="end"/>
      </w:r>
      <w:r>
        <w:rPr>
          <w:rFonts w:hint="default" w:ascii="Arial Regular" w:hAnsi="Arial Regular" w:cs="Arial Regular"/>
        </w:rPr>
        <w:t>.</w:t>
      </w:r>
    </w:p>
    <w:bookmarkEnd w:id="22"/>
    <w:p w14:paraId="70CFC600">
      <w:pPr>
        <w:pStyle w:val="30"/>
        <w:rPr>
          <w:rFonts w:hint="default" w:ascii="Arial Regular" w:hAnsi="Arial Regular" w:cs="Arial Regular"/>
        </w:rPr>
      </w:pPr>
      <w:bookmarkStart w:id="23" w:name="ref-li2022qpcrtools"/>
      <w:r>
        <w:rPr>
          <w:rFonts w:hint="default" w:ascii="Arial Regular" w:hAnsi="Arial Regular" w:cs="Arial Regular"/>
        </w:rPr>
        <w:t>Li, Xiang, Yingmin Wang, Jingyu Li, Xinyue Mei, Yixiang Liu, and Huichuan Huang. 2022. “</w:t>
      </w:r>
      <w:r>
        <w:rPr>
          <w:rFonts w:hint="eastAsia" w:ascii="Arial Regular" w:hAnsi="Arial Regular" w:cs="Arial Regular"/>
          <w:lang w:eastAsia="zh-CN"/>
        </w:rPr>
        <w:t>qPCRtools2</w:t>
      </w:r>
      <w:r>
        <w:rPr>
          <w:rFonts w:hint="default" w:ascii="Arial Regular" w:hAnsi="Arial Regular" w:cs="Arial Regular"/>
        </w:rPr>
        <w:t xml:space="preserve">: An R Package for qPCR Data Processing and Visualization.” </w:t>
      </w:r>
      <w:r>
        <w:rPr>
          <w:rFonts w:hint="default" w:ascii="Arial Regular" w:hAnsi="Arial Regular" w:cs="Arial Regular"/>
          <w:i/>
          <w:iCs/>
        </w:rPr>
        <w:t>Frontiers in Genetics</w:t>
      </w:r>
      <w:r>
        <w:rPr>
          <w:rFonts w:hint="default" w:ascii="Arial Regular" w:hAnsi="Arial Regular" w:cs="Arial Regular"/>
        </w:rPr>
        <w:t xml:space="preserve"> 13: 1002704. </w:t>
      </w:r>
      <w:r>
        <w:rPr>
          <w:rFonts w:hint="default" w:ascii="Arial Regular" w:hAnsi="Arial Regular" w:cs="Arial Regular"/>
        </w:rPr>
        <w:fldChar w:fldCharType="begin"/>
      </w:r>
      <w:r>
        <w:rPr>
          <w:rFonts w:hint="default" w:ascii="Arial Regular" w:hAnsi="Arial Regular" w:cs="Arial Regular"/>
        </w:rPr>
        <w:instrText xml:space="preserve"> HYPERLINK "https://doi.org/10.3389/fgene.2022.1002704" \h </w:instrText>
      </w:r>
      <w:r>
        <w:rPr>
          <w:rFonts w:hint="default" w:ascii="Arial Regular" w:hAnsi="Arial Regular" w:cs="Arial Regular"/>
        </w:rPr>
        <w:fldChar w:fldCharType="separate"/>
      </w:r>
      <w:r>
        <w:rPr>
          <w:rStyle w:val="20"/>
          <w:rFonts w:hint="default" w:ascii="Arial Regular" w:hAnsi="Arial Regular" w:cs="Arial Regular"/>
        </w:rPr>
        <w:t>https://doi.org/10.3389/fgene.2022.1002704</w:t>
      </w:r>
      <w:r>
        <w:rPr>
          <w:rStyle w:val="20"/>
          <w:rFonts w:hint="default" w:ascii="Arial Regular" w:hAnsi="Arial Regular" w:cs="Arial Regular"/>
        </w:rPr>
        <w:fldChar w:fldCharType="end"/>
      </w:r>
      <w:r>
        <w:rPr>
          <w:rFonts w:hint="default" w:ascii="Arial Regular" w:hAnsi="Arial Regular" w:cs="Arial Regular"/>
        </w:rPr>
        <w:t>.</w:t>
      </w:r>
    </w:p>
    <w:bookmarkEnd w:id="23"/>
    <w:p w14:paraId="25AD08F5">
      <w:pPr>
        <w:pStyle w:val="30"/>
        <w:rPr>
          <w:rFonts w:hint="default" w:ascii="Arial Regular" w:hAnsi="Arial Regular" w:cs="Arial Regular"/>
        </w:rPr>
      </w:pPr>
      <w:bookmarkStart w:id="24" w:name="ref-livak2001analysis"/>
      <w:r>
        <w:rPr>
          <w:rFonts w:hint="default" w:ascii="Arial Regular" w:hAnsi="Arial Regular" w:cs="Arial Regular"/>
        </w:rPr>
        <w:t xml:space="preserve">Livak, Kenneth J., and Thomas D. Schmittgen. 2001. “Analysis of Relative Gene Expression Data Using Real-Time Quantitative PCR and the </w:t>
      </w:r>
      <m:oMath>
        <m:sSup>
          <m:sSupPr>
            <m:ctrlPr>
              <w:rPr>
                <w:rFonts w:hint="default" w:ascii="DejaVu Math TeX Gyre" w:hAnsi="DejaVu Math TeX Gyre" w:cs="Arial Regular"/>
              </w:rPr>
            </m:ctrlPr>
          </m:sSupPr>
          <m:e>
            <m:r>
              <m:rPr/>
              <w:rPr>
                <w:rFonts w:hint="default" w:ascii="DejaVu Math TeX Gyre" w:hAnsi="DejaVu Math TeX Gyre" w:cs="Arial Regular"/>
              </w:rPr>
              <m:t>2</m:t>
            </m:r>
            <m:ctrlPr>
              <w:rPr>
                <w:rFonts w:hint="default" w:ascii="DejaVu Math TeX Gyre" w:hAnsi="DejaVu Math TeX Gyre" w:cs="Arial Regular"/>
              </w:rPr>
            </m:ctrlPr>
          </m:e>
          <m:sup>
            <m:r>
              <m:rPr>
                <m:sty m:val="p"/>
              </m:rPr>
              <w:rPr>
                <w:rFonts w:hint="default" w:ascii="DejaVu Math TeX Gyre" w:hAnsi="DejaVu Math TeX Gyre" w:cs="Arial Regular"/>
              </w:rPr>
              <m:t>−ΔΔ</m:t>
            </m:r>
            <m:sSub>
              <m:sSubPr>
                <m:ctrlPr>
                  <w:rPr>
                    <w:rFonts w:hint="default" w:ascii="DejaVu Math TeX Gyre" w:hAnsi="DejaVu Math TeX Gyre" w:cs="Arial Regular"/>
                  </w:rPr>
                </m:ctrlPr>
              </m:sSubPr>
              <m:e>
                <m:r>
                  <m:rPr/>
                  <w:rPr>
                    <w:rFonts w:hint="default" w:ascii="DejaVu Math TeX Gyre" w:hAnsi="DejaVu Math TeX Gyre" w:cs="Arial Regular"/>
                  </w:rPr>
                  <m:t>C</m:t>
                </m:r>
                <m:ctrlPr>
                  <w:rPr>
                    <w:rFonts w:hint="default" w:ascii="DejaVu Math TeX Gyre" w:hAnsi="DejaVu Math TeX Gyre" w:cs="Arial Regular"/>
                  </w:rPr>
                </m:ctrlPr>
              </m:e>
              <m:sub>
                <m:r>
                  <m:rPr/>
                  <w:rPr>
                    <w:rFonts w:hint="default" w:ascii="DejaVu Math TeX Gyre" w:hAnsi="DejaVu Math TeX Gyre" w:cs="Arial Regular"/>
                  </w:rPr>
                  <m:t>T</m:t>
                </m:r>
                <m:ctrlPr>
                  <w:rPr>
                    <w:rFonts w:hint="default" w:ascii="DejaVu Math TeX Gyre" w:hAnsi="DejaVu Math TeX Gyre" w:cs="Arial Regular"/>
                  </w:rPr>
                </m:ctrlPr>
              </m:sub>
            </m:sSub>
            <m:ctrlPr>
              <w:rPr>
                <w:rFonts w:hint="default" w:ascii="DejaVu Math TeX Gyre" w:hAnsi="DejaVu Math TeX Gyre" w:cs="Arial Regular"/>
              </w:rPr>
            </m:ctrlPr>
          </m:sup>
        </m:sSup>
      </m:oMath>
      <w:r>
        <w:rPr>
          <w:rFonts w:hint="default" w:ascii="Arial Regular" w:hAnsi="Arial Regular" w:cs="Arial Regular"/>
        </w:rPr>
        <w:t xml:space="preserve"> Method.” </w:t>
      </w:r>
      <w:r>
        <w:rPr>
          <w:rFonts w:hint="default" w:ascii="Arial Regular" w:hAnsi="Arial Regular" w:cs="Arial Regular"/>
          <w:i/>
          <w:iCs/>
        </w:rPr>
        <w:t>Methods</w:t>
      </w:r>
      <w:r>
        <w:rPr>
          <w:rFonts w:hint="default" w:ascii="Arial Regular" w:hAnsi="Arial Regular" w:cs="Arial Regular"/>
        </w:rPr>
        <w:t xml:space="preserve"> 25 (4): 402–8. </w:t>
      </w:r>
      <w:r>
        <w:rPr>
          <w:rFonts w:hint="default" w:ascii="Arial Regular" w:hAnsi="Arial Regular" w:cs="Arial Regular"/>
        </w:rPr>
        <w:fldChar w:fldCharType="begin"/>
      </w:r>
      <w:r>
        <w:rPr>
          <w:rFonts w:hint="default" w:ascii="Arial Regular" w:hAnsi="Arial Regular" w:cs="Arial Regular"/>
        </w:rPr>
        <w:instrText xml:space="preserve"> HYPERLINK "https://doi.org/10.1006/meth.2001.1262" \h </w:instrText>
      </w:r>
      <w:r>
        <w:rPr>
          <w:rFonts w:hint="default" w:ascii="Arial Regular" w:hAnsi="Arial Regular" w:cs="Arial Regular"/>
        </w:rPr>
        <w:fldChar w:fldCharType="separate"/>
      </w:r>
      <w:r>
        <w:rPr>
          <w:rStyle w:val="20"/>
          <w:rFonts w:hint="default" w:ascii="Arial Regular" w:hAnsi="Arial Regular" w:cs="Arial Regular"/>
        </w:rPr>
        <w:t>https://doi.org/10.1006/meth.2001.1262</w:t>
      </w:r>
      <w:r>
        <w:rPr>
          <w:rStyle w:val="20"/>
          <w:rFonts w:hint="default" w:ascii="Arial Regular" w:hAnsi="Arial Regular" w:cs="Arial Regular"/>
        </w:rPr>
        <w:fldChar w:fldCharType="end"/>
      </w:r>
      <w:r>
        <w:rPr>
          <w:rFonts w:hint="default" w:ascii="Arial Regular" w:hAnsi="Arial Regular" w:cs="Arial Regular"/>
        </w:rPr>
        <w:t>.</w:t>
      </w:r>
    </w:p>
    <w:bookmarkEnd w:id="24"/>
    <w:p w14:paraId="449A5CD9">
      <w:pPr>
        <w:pStyle w:val="30"/>
        <w:rPr>
          <w:rFonts w:hint="default" w:ascii="Arial Regular" w:hAnsi="Arial Regular" w:cs="Arial Regular"/>
        </w:rPr>
      </w:pPr>
      <w:bookmarkStart w:id="25" w:name="ref-pabinger2014survey"/>
      <w:r>
        <w:rPr>
          <w:rFonts w:hint="default" w:ascii="Arial Regular" w:hAnsi="Arial Regular" w:cs="Arial Regular"/>
        </w:rPr>
        <w:t xml:space="preserve">Pabinger, Stephan, Stefan Rödiger, Anja Kriegner, Klemens Vierlinger, and Andreas Weinhäusel. 2014. “A Survey of Tools for the Analysis of Quantitative PCR (qPCR) Data.” </w:t>
      </w:r>
      <w:r>
        <w:rPr>
          <w:rFonts w:hint="default" w:ascii="Arial Regular" w:hAnsi="Arial Regular" w:cs="Arial Regular"/>
          <w:i/>
          <w:iCs/>
        </w:rPr>
        <w:t>Biomolecular Detection and Quantification</w:t>
      </w:r>
      <w:r>
        <w:rPr>
          <w:rFonts w:hint="default" w:ascii="Arial Regular" w:hAnsi="Arial Regular" w:cs="Arial Regular"/>
        </w:rPr>
        <w:t xml:space="preserve"> 1: 23–33. </w:t>
      </w:r>
      <w:r>
        <w:rPr>
          <w:rFonts w:hint="default" w:ascii="Arial Regular" w:hAnsi="Arial Regular" w:cs="Arial Regular"/>
        </w:rPr>
        <w:fldChar w:fldCharType="begin"/>
      </w:r>
      <w:r>
        <w:rPr>
          <w:rFonts w:hint="default" w:ascii="Arial Regular" w:hAnsi="Arial Regular" w:cs="Arial Regular"/>
        </w:rPr>
        <w:instrText xml:space="preserve"> HYPERLINK "https://doi.org/10.1016/j.bdq.2014.08.002" \h </w:instrText>
      </w:r>
      <w:r>
        <w:rPr>
          <w:rFonts w:hint="default" w:ascii="Arial Regular" w:hAnsi="Arial Regular" w:cs="Arial Regular"/>
        </w:rPr>
        <w:fldChar w:fldCharType="separate"/>
      </w:r>
      <w:r>
        <w:rPr>
          <w:rStyle w:val="20"/>
          <w:rFonts w:hint="default" w:ascii="Arial Regular" w:hAnsi="Arial Regular" w:cs="Arial Regular"/>
        </w:rPr>
        <w:t>https://doi.org/10.1016/j.bdq.2014.08.002</w:t>
      </w:r>
      <w:r>
        <w:rPr>
          <w:rStyle w:val="20"/>
          <w:rFonts w:hint="default" w:ascii="Arial Regular" w:hAnsi="Arial Regular" w:cs="Arial Regular"/>
        </w:rPr>
        <w:fldChar w:fldCharType="end"/>
      </w:r>
      <w:r>
        <w:rPr>
          <w:rFonts w:hint="default" w:ascii="Arial Regular" w:hAnsi="Arial Regular" w:cs="Arial Regular"/>
        </w:rPr>
        <w:t>.</w:t>
      </w:r>
    </w:p>
    <w:bookmarkEnd w:id="25"/>
    <w:p w14:paraId="1F3F039F">
      <w:pPr>
        <w:pStyle w:val="30"/>
        <w:rPr>
          <w:rFonts w:hint="default" w:ascii="Arial Regular" w:hAnsi="Arial Regular" w:cs="Arial Regular"/>
        </w:rPr>
      </w:pPr>
      <w:bookmarkStart w:id="26" w:name="ref-pfaffl2001new"/>
      <w:r>
        <w:rPr>
          <w:rFonts w:hint="default" w:ascii="Arial Regular" w:hAnsi="Arial Regular" w:cs="Arial Regular"/>
        </w:rPr>
        <w:t xml:space="preserve">Pfaffl, Michael W. 2001. “A New Mathematical Model for Relative Quantification in Real-Time RT-PCR.” </w:t>
      </w:r>
      <w:r>
        <w:rPr>
          <w:rFonts w:hint="default" w:ascii="Arial Regular" w:hAnsi="Arial Regular" w:cs="Arial Regular"/>
          <w:i/>
          <w:iCs/>
        </w:rPr>
        <w:t>Nucleic Acids Research</w:t>
      </w:r>
      <w:r>
        <w:rPr>
          <w:rFonts w:hint="default" w:ascii="Arial Regular" w:hAnsi="Arial Regular" w:cs="Arial Regular"/>
        </w:rPr>
        <w:t xml:space="preserve"> 29 (9): e45. </w:t>
      </w:r>
      <w:r>
        <w:rPr>
          <w:rFonts w:hint="default" w:ascii="Arial Regular" w:hAnsi="Arial Regular" w:cs="Arial Regular"/>
        </w:rPr>
        <w:fldChar w:fldCharType="begin"/>
      </w:r>
      <w:r>
        <w:rPr>
          <w:rFonts w:hint="default" w:ascii="Arial Regular" w:hAnsi="Arial Regular" w:cs="Arial Regular"/>
        </w:rPr>
        <w:instrText xml:space="preserve"> HYPERLINK "https://doi.org/10.1093/nar/29.9.e45" \h </w:instrText>
      </w:r>
      <w:r>
        <w:rPr>
          <w:rFonts w:hint="default" w:ascii="Arial Regular" w:hAnsi="Arial Regular" w:cs="Arial Regular"/>
        </w:rPr>
        <w:fldChar w:fldCharType="separate"/>
      </w:r>
      <w:r>
        <w:rPr>
          <w:rStyle w:val="20"/>
          <w:rFonts w:hint="default" w:ascii="Arial Regular" w:hAnsi="Arial Regular" w:cs="Arial Regular"/>
        </w:rPr>
        <w:t>https://doi.org/10.1093/nar/29.9.e45</w:t>
      </w:r>
      <w:r>
        <w:rPr>
          <w:rStyle w:val="20"/>
          <w:rFonts w:hint="default" w:ascii="Arial Regular" w:hAnsi="Arial Regular" w:cs="Arial Regular"/>
        </w:rPr>
        <w:fldChar w:fldCharType="end"/>
      </w:r>
      <w:r>
        <w:rPr>
          <w:rFonts w:hint="default" w:ascii="Arial Regular" w:hAnsi="Arial Regular" w:cs="Arial Regular"/>
        </w:rPr>
        <w:t>.</w:t>
      </w:r>
    </w:p>
    <w:bookmarkEnd w:id="26"/>
    <w:p w14:paraId="7CA9B7F7">
      <w:pPr>
        <w:pStyle w:val="30"/>
        <w:rPr>
          <w:rFonts w:hint="default" w:ascii="Arial Regular" w:hAnsi="Arial Regular" w:cs="Arial Regular"/>
        </w:rPr>
      </w:pPr>
      <w:bookmarkStart w:id="27" w:name="ref-rancurel2019satqpcr"/>
      <w:r>
        <w:rPr>
          <w:rFonts w:hint="default" w:ascii="Arial Regular" w:hAnsi="Arial Regular" w:cs="Arial Regular"/>
        </w:rPr>
        <w:t xml:space="preserve">Rancurel, Corinne, Thuy Van Tran, Corinne Elie, and Frédérique Hilliou. 2019. “SATQPCR: Website for Statistical Analysis of Real-Time Quantitative PCR Data.” </w:t>
      </w:r>
      <w:r>
        <w:rPr>
          <w:rFonts w:hint="default" w:ascii="Arial Regular" w:hAnsi="Arial Regular" w:cs="Arial Regular"/>
          <w:i/>
          <w:iCs/>
        </w:rPr>
        <w:t>Molecular and Cellular Probes</w:t>
      </w:r>
      <w:r>
        <w:rPr>
          <w:rFonts w:hint="default" w:ascii="Arial Regular" w:hAnsi="Arial Regular" w:cs="Arial Regular"/>
        </w:rPr>
        <w:t xml:space="preserve"> 46: 101418. </w:t>
      </w:r>
      <w:r>
        <w:rPr>
          <w:rFonts w:hint="default" w:ascii="Arial Regular" w:hAnsi="Arial Regular" w:cs="Arial Regular"/>
        </w:rPr>
        <w:fldChar w:fldCharType="begin"/>
      </w:r>
      <w:r>
        <w:rPr>
          <w:rFonts w:hint="default" w:ascii="Arial Regular" w:hAnsi="Arial Regular" w:cs="Arial Regular"/>
        </w:rPr>
        <w:instrText xml:space="preserve"> HYPERLINK "https://doi.org/10.1016/j.mcp.2019.07.001" \h </w:instrText>
      </w:r>
      <w:r>
        <w:rPr>
          <w:rFonts w:hint="default" w:ascii="Arial Regular" w:hAnsi="Arial Regular" w:cs="Arial Regular"/>
        </w:rPr>
        <w:fldChar w:fldCharType="separate"/>
      </w:r>
      <w:r>
        <w:rPr>
          <w:rStyle w:val="20"/>
          <w:rFonts w:hint="default" w:ascii="Arial Regular" w:hAnsi="Arial Regular" w:cs="Arial Regular"/>
        </w:rPr>
        <w:t>https://doi.org/10.1016/j.mcp.2019.07.001</w:t>
      </w:r>
      <w:r>
        <w:rPr>
          <w:rStyle w:val="20"/>
          <w:rFonts w:hint="default" w:ascii="Arial Regular" w:hAnsi="Arial Regular" w:cs="Arial Regular"/>
        </w:rPr>
        <w:fldChar w:fldCharType="end"/>
      </w:r>
      <w:r>
        <w:rPr>
          <w:rFonts w:hint="default" w:ascii="Arial Regular" w:hAnsi="Arial Regular" w:cs="Arial Regular"/>
        </w:rPr>
        <w:t>.</w:t>
      </w:r>
    </w:p>
    <w:bookmarkEnd w:id="27"/>
    <w:p w14:paraId="10C5D119">
      <w:pPr>
        <w:pStyle w:val="30"/>
        <w:rPr>
          <w:rFonts w:hint="default" w:ascii="Arial Regular" w:hAnsi="Arial Regular" w:cs="Arial Regular"/>
        </w:rPr>
      </w:pPr>
      <w:bookmarkStart w:id="28" w:name="ref-qt"/>
      <w:r>
        <w:rPr>
          <w:rFonts w:hint="default" w:ascii="Arial Regular" w:hAnsi="Arial Regular" w:cs="Arial Regular"/>
        </w:rPr>
        <w:t xml:space="preserve">The Qt Company. 2024. </w:t>
      </w:r>
      <w:r>
        <w:rPr>
          <w:rFonts w:hint="default" w:ascii="Arial Regular" w:hAnsi="Arial Regular" w:cs="Arial Regular"/>
          <w:i/>
          <w:iCs/>
        </w:rPr>
        <w:t>Qt Cross-Platform Application Development Framework</w:t>
      </w:r>
      <w:r>
        <w:rPr>
          <w:rFonts w:hint="default" w:ascii="Arial Regular" w:hAnsi="Arial Regular" w:cs="Arial Regular"/>
        </w:rPr>
        <w:t xml:space="preserve">. </w:t>
      </w:r>
      <w:r>
        <w:rPr>
          <w:rFonts w:hint="default" w:ascii="Arial Regular" w:hAnsi="Arial Regular" w:cs="Arial Regular"/>
        </w:rPr>
        <w:fldChar w:fldCharType="begin"/>
      </w:r>
      <w:r>
        <w:rPr>
          <w:rFonts w:hint="default" w:ascii="Arial Regular" w:hAnsi="Arial Regular" w:cs="Arial Regular"/>
        </w:rPr>
        <w:instrText xml:space="preserve"> HYPERLINK "https://www.qt.io/" \h </w:instrText>
      </w:r>
      <w:r>
        <w:rPr>
          <w:rFonts w:hint="default" w:ascii="Arial Regular" w:hAnsi="Arial Regular" w:cs="Arial Regular"/>
        </w:rPr>
        <w:fldChar w:fldCharType="separate"/>
      </w:r>
      <w:r>
        <w:rPr>
          <w:rStyle w:val="20"/>
          <w:rFonts w:hint="default" w:ascii="Arial Regular" w:hAnsi="Arial Regular" w:cs="Arial Regular"/>
        </w:rPr>
        <w:t>Https://www.qt.io/</w:t>
      </w:r>
      <w:r>
        <w:rPr>
          <w:rStyle w:val="20"/>
          <w:rFonts w:hint="default" w:ascii="Arial Regular" w:hAnsi="Arial Regular" w:cs="Arial Regular"/>
        </w:rPr>
        <w:fldChar w:fldCharType="end"/>
      </w:r>
      <w:r>
        <w:rPr>
          <w:rFonts w:hint="default" w:ascii="Arial Regular" w:hAnsi="Arial Regular" w:cs="Arial Regular"/>
        </w:rPr>
        <w:t>.</w:t>
      </w:r>
    </w:p>
    <w:bookmarkEnd w:id="28"/>
    <w:p w14:paraId="322A37BD">
      <w:pPr>
        <w:pStyle w:val="30"/>
        <w:rPr>
          <w:rFonts w:hint="default" w:ascii="Arial Regular" w:hAnsi="Arial Regular" w:cs="Arial Regular"/>
        </w:rPr>
      </w:pPr>
      <w:bookmarkStart w:id="29" w:name="ref-vandesompele2002accurate"/>
      <w:r>
        <w:rPr>
          <w:rFonts w:hint="default" w:ascii="Arial Regular" w:hAnsi="Arial Regular" w:cs="Arial Regular"/>
        </w:rPr>
        <w:t xml:space="preserve">Vandesompele, Jo, Katleen De Preter, Filip Pattyn, et al. 2002. “Accurate Normalization of Real-Time Quantitative RT-PCR Data by Geometric Averaging of Multiple Internal Control Genes.” </w:t>
      </w:r>
      <w:r>
        <w:rPr>
          <w:rFonts w:hint="default" w:ascii="Arial Regular" w:hAnsi="Arial Regular" w:cs="Arial Regular"/>
          <w:i/>
          <w:iCs/>
        </w:rPr>
        <w:t>Genome Biology</w:t>
      </w:r>
      <w:r>
        <w:rPr>
          <w:rFonts w:hint="default" w:ascii="Arial Regular" w:hAnsi="Arial Regular" w:cs="Arial Regular"/>
        </w:rPr>
        <w:t xml:space="preserve"> 3 (7): research0034. </w:t>
      </w:r>
      <w:r>
        <w:rPr>
          <w:rFonts w:hint="default" w:ascii="Arial Regular" w:hAnsi="Arial Regular" w:cs="Arial Regular"/>
        </w:rPr>
        <w:fldChar w:fldCharType="begin"/>
      </w:r>
      <w:r>
        <w:rPr>
          <w:rFonts w:hint="default" w:ascii="Arial Regular" w:hAnsi="Arial Regular" w:cs="Arial Regular"/>
        </w:rPr>
        <w:instrText xml:space="preserve"> HYPERLINK "https://doi.org/10.1186/gb-2002-3-7-research0034" \h </w:instrText>
      </w:r>
      <w:r>
        <w:rPr>
          <w:rFonts w:hint="default" w:ascii="Arial Regular" w:hAnsi="Arial Regular" w:cs="Arial Regular"/>
        </w:rPr>
        <w:fldChar w:fldCharType="separate"/>
      </w:r>
      <w:r>
        <w:rPr>
          <w:rStyle w:val="20"/>
          <w:rFonts w:hint="default" w:ascii="Arial Regular" w:hAnsi="Arial Regular" w:cs="Arial Regular"/>
        </w:rPr>
        <w:t>https://doi.org/10.1186/gb-2002-3-7-research0034</w:t>
      </w:r>
      <w:r>
        <w:rPr>
          <w:rStyle w:val="20"/>
          <w:rFonts w:hint="default" w:ascii="Arial Regular" w:hAnsi="Arial Regular" w:cs="Arial Regular"/>
        </w:rPr>
        <w:fldChar w:fldCharType="end"/>
      </w:r>
      <w:r>
        <w:rPr>
          <w:rFonts w:hint="default" w:ascii="Arial Regular" w:hAnsi="Arial Regular" w:cs="Arial Regular"/>
        </w:rPr>
        <w:t>.</w:t>
      </w:r>
    </w:p>
    <w:bookmarkEnd w:id="29"/>
    <w:p w14:paraId="7323C5AF">
      <w:pPr>
        <w:pStyle w:val="30"/>
        <w:rPr>
          <w:rFonts w:hint="default" w:ascii="Arial Regular" w:hAnsi="Arial Regular" w:cs="Arial Regular"/>
        </w:rPr>
      </w:pPr>
      <w:bookmarkStart w:id="30" w:name="ref-wickham2016ggplot2"/>
      <w:r>
        <w:rPr>
          <w:rFonts w:hint="default" w:ascii="Arial Regular" w:hAnsi="Arial Regular" w:cs="Arial Regular"/>
        </w:rPr>
        <w:t xml:space="preserve">Wickham, Hadley. 2016. </w:t>
      </w:r>
      <w:r>
        <w:rPr>
          <w:rFonts w:hint="default" w:ascii="Arial Regular" w:hAnsi="Arial Regular" w:cs="Arial Regular"/>
          <w:i/>
          <w:iCs/>
        </w:rPr>
        <w:t>Ggplot2: Elegant Graphics for Data Analysis</w:t>
      </w:r>
      <w:r>
        <w:rPr>
          <w:rFonts w:hint="default" w:ascii="Arial Regular" w:hAnsi="Arial Regular" w:cs="Arial Regular"/>
        </w:rPr>
        <w:t xml:space="preserve">. Springer. </w:t>
      </w:r>
      <w:r>
        <w:rPr>
          <w:rFonts w:hint="default" w:ascii="Arial Regular" w:hAnsi="Arial Regular" w:cs="Arial Regular"/>
        </w:rPr>
        <w:fldChar w:fldCharType="begin"/>
      </w:r>
      <w:r>
        <w:rPr>
          <w:rFonts w:hint="default" w:ascii="Arial Regular" w:hAnsi="Arial Regular" w:cs="Arial Regular"/>
        </w:rPr>
        <w:instrText xml:space="preserve"> HYPERLINK "https://doi.org/10.1007/978-3-319-24277-4" \h </w:instrText>
      </w:r>
      <w:r>
        <w:rPr>
          <w:rFonts w:hint="default" w:ascii="Arial Regular" w:hAnsi="Arial Regular" w:cs="Arial Regular"/>
        </w:rPr>
        <w:fldChar w:fldCharType="separate"/>
      </w:r>
      <w:r>
        <w:rPr>
          <w:rStyle w:val="20"/>
          <w:rFonts w:hint="default" w:ascii="Arial Regular" w:hAnsi="Arial Regular" w:cs="Arial Regular"/>
        </w:rPr>
        <w:t>https://doi.org/10.1007/978-3-319-24277-4</w:t>
      </w:r>
      <w:r>
        <w:rPr>
          <w:rStyle w:val="20"/>
          <w:rFonts w:hint="default" w:ascii="Arial Regular" w:hAnsi="Arial Regular" w:cs="Arial Regular"/>
        </w:rPr>
        <w:fldChar w:fldCharType="end"/>
      </w:r>
      <w:r>
        <w:rPr>
          <w:rFonts w:hint="default" w:ascii="Arial Regular" w:hAnsi="Arial Regular" w:cs="Arial Regular"/>
        </w:rPr>
        <w:t>.</w:t>
      </w:r>
    </w:p>
    <w:bookmarkEnd w:id="17"/>
    <w:bookmarkEnd w:id="19"/>
    <w:bookmarkEnd w:id="3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rial Regular">
    <w:panose1 w:val="020B0604020202090204"/>
    <w:charset w:val="00"/>
    <w:family w:val="auto"/>
    <w:pitch w:val="default"/>
    <w:sig w:usb0="E0000AFF" w:usb1="00007843" w:usb2="00000001" w:usb3="00000000" w:csb0="400001BF" w:csb1="DFF7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F7ECEF4"/>
    <w:rsid w:val="2D9EECB0"/>
    <w:rsid w:val="5FF55B58"/>
    <w:rsid w:val="7B794316"/>
    <w:rsid w:val="7BEE5E9B"/>
    <w:rsid w:val="7DC62046"/>
    <w:rsid w:val="CBEFCFF8"/>
    <w:rsid w:val="ED7D57E2"/>
    <w:rsid w:val="FEDE54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42</TotalTime>
  <ScaleCrop>false</ScaleCrop>
  <LinksUpToDate>false</LinksUpToDate>
  <CharactersWithSpaces>583</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2026-06-29T13:01:00Z</dcterms:created>
  <dc:creator>Xiang Li State Key Laboratory for Conservation and Utilization of Bio-Resources in Yunnan, Yunnan Agricultural University, Kunming, China lixiang117423@gmail.com</dc:creator>
  <cp:lastModifiedBy>lixiang</cp:lastModifiedBy>
  <dcterms:modified xsi:type="dcterms:W3CDTF">2026-06-29T13:58:23Z</dcterms:modified>
  <dc:title>qPCRtools: a cross-platform C++ desktop application for qPCR data analysis with validated equivalence to its R implementation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real-time PCR (qPCR) is a cornerstone technique for measuring gene expression, yet rigorous analysis—primer-amplification-efficiency estimation, choice of quantification method, statistical testing, and publication-quality visualization—remains non-trivial. Existing tools either require programming, notably in R (including our own qPCRtools package), or are commercial software that is costly, closed-source, and platform-restricted, or are web services that are often discontinued and raise data-privacy concerns. Here we present qPCRtools, a cross-platform desktop application written in C++ with Qt6 that delivers a complete qPCR analysis pipeline through a graphical interface and ships as a single executable with no runtime dependencies. The application implements standard-curve construction and amplification-efficiency estimation, the \Delta C_t and \Delta\Delta C_t methods, and an efficiency-based (RqPCR) method, together with extended statistical testing (independent, paired, and Welch t-tests, Wilcoxon tests, one-way ANOVA with Tukey’s HSD, Shapiro–Wilk normality testing, and Cohen’s d) and interactive, publication-quality visualization; the standard-curve slope–intercept quantification and reverse-transcription volume calculation of the R version are not yet ported. We validated the C++ implementation against the original R package on multiple real datasets: across all shared methods the results agree to numerical precision, and the validation is fully reproducible from open scripts. qPCRtools is freely available under the MIT license for Windows and macOS, with source code compilable on Linux.</vt:lpwstr>
  </property>
  <property fmtid="{D5CDD505-2E9C-101B-9397-08002B2CF9AE}" pid="3" name="bibliography">
    <vt:lpwstr>refs.bib</vt:lpwstr>
  </property>
  <property fmtid="{D5CDD505-2E9C-101B-9397-08002B2CF9AE}" pid="4" name="date">
    <vt:lpwstr/>
  </property>
  <property fmtid="{D5CDD505-2E9C-101B-9397-08002B2CF9AE}" pid="5" name="KSOProductBuildVer">
    <vt:lpwstr>2052-12.1.26016.26016</vt:lpwstr>
  </property>
  <property fmtid="{D5CDD505-2E9C-101B-9397-08002B2CF9AE}" pid="6" name="ICV">
    <vt:lpwstr>49B3FCBB128AAF895FFF416AA32B9EEC_42</vt:lpwstr>
  </property>
</Properties>
</file>