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160"/>
        <w:jc w:val="center"/>
      </w:pPr>
      <w:r>
        <w:rPr>
          <w:rFonts w:ascii="Arial" w:hAnsi="Arial"/>
          <w:b/>
          <w:sz w:val="28"/>
        </w:rPr>
        <w:t>qPCRtools: a cross-platform C++ desktop application for qPCR data analysis with validated equivalence to its R implementation</w:t>
      </w:r>
    </w:p>
    <w:p>
      <w:pPr>
        <w:pStyle w:val="Author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Summary:</w:t>
      </w:r>
      <w:r>
        <w:t xml:space="preserve"> </w:t>
      </w:r>
      <w:r>
        <w:t xml:space="preserve">Quantitative real-time PCR (qPCR) is a standard technique for measuring gene</w:t>
      </w:r>
      <w:r>
        <w:t xml:space="preserve"> </w:t>
      </w:r>
      <w:r>
        <w:t xml:space="preserve">expression, yet turning instrument-exported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values into</w:t>
      </w:r>
      <w:r>
        <w:t xml:space="preserve"> </w:t>
      </w:r>
      <w:r>
        <w:t xml:space="preserve">publication-ready results requires several non-trivial steps: estimating</w:t>
      </w:r>
      <w:r>
        <w:t xml:space="preserve"> </w:t>
      </w:r>
      <w:r>
        <w:t xml:space="preserve">amplification efficiency, choosing a quantification method, testing groups</w:t>
      </w:r>
      <w:r>
        <w:t xml:space="preserve"> </w:t>
      </w:r>
      <w:r>
        <w:t xml:space="preserve">statistically, and preparing figures. Established tools for this chain are</w:t>
      </w:r>
      <w:r>
        <w:t xml:space="preserve"> </w:t>
      </w:r>
      <w:r>
        <w:t xml:space="preserve">predominantly programming-based—including our own R package</w:t>
      </w:r>
      <w:r>
        <w:t xml:space="preserve"> </w:t>
      </w:r>
      <w:r>
        <w:rPr>
          <w:i/>
          <w:iCs/>
        </w:rPr>
        <w:t xml:space="preserve">qPCRtools</w:t>
      </w:r>
      <w:r>
        <w:t xml:space="preserve">—and remain out of reach for students and wet-lab</w:t>
      </w:r>
      <w:r>
        <w:t xml:space="preserve"> </w:t>
      </w:r>
      <w:r>
        <w:t xml:space="preserve">researchers without programming experience, whereas instrument software, free</w:t>
      </w:r>
      <w:r>
        <w:t xml:space="preserve"> </w:t>
      </w:r>
      <w:r>
        <w:t xml:space="preserve">stand-alone programs and web applications each cover only part of the</w:t>
      </w:r>
      <w:r>
        <w:t xml:space="preserve"> </w:t>
      </w:r>
      <w:r>
        <w:t xml:space="preserve">workflow or tie the analysis to one platform. We present</w:t>
      </w:r>
      <w:r>
        <w:t xml:space="preserve"> </w:t>
      </w:r>
      <w:r>
        <w:rPr>
          <w:i/>
          <w:iCs/>
        </w:rPr>
        <w:t xml:space="preserve">qPCRtools</w:t>
      </w:r>
      <w:r>
        <w:t xml:space="preserve">,</w:t>
      </w:r>
      <w:r>
        <w:t xml:space="preserve"> </w:t>
      </w:r>
      <w:r>
        <w:t xml:space="preserve">a cross-platform desktop application written in C++17 with Qt6 that exposes</w:t>
      </w:r>
      <w:r>
        <w:t xml:space="preserve"> </w:t>
      </w:r>
      <w:r>
        <w:t xml:space="preserve">the analytical core of the R package through a point-and-click interface and</w:t>
      </w:r>
      <w:r>
        <w:t xml:space="preserve"> </w:t>
      </w:r>
      <w:r>
        <w:t xml:space="preserve">ships as a single executable requiring no R, Python or other runtime. It</w:t>
      </w:r>
      <w:r>
        <w:t xml:space="preserve"> </w:t>
      </w:r>
      <w:r>
        <w:t xml:space="preserve">implements standard-curve construction and efficiency estimation,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efficiency-based (RqPCR) quantification</w:t>
      </w:r>
      <w:r>
        <w:t xml:space="preserve"> </w:t>
      </w:r>
      <w:r>
        <w:t xml:space="preserve">methods, group comparison by Welch</w:t>
      </w:r>
      <w:r>
        <w:t xml:space="preserve"> </w:t>
      </w:r>
      <m:oMath>
        <m:r>
          <m:t>t</m:t>
        </m:r>
      </m:oMath>
      <w:r>
        <w:t xml:space="preserve">-test, Wilcoxon rank-sum test or</w:t>
      </w:r>
      <w:r>
        <w:t xml:space="preserve"> </w:t>
      </w:r>
      <w:r>
        <w:t xml:space="preserve">one-way ANOVA with Tukey HSD letters, quality-control warnings,</w:t>
      </w:r>
      <w:r>
        <w:t xml:space="preserve"> </w:t>
      </w:r>
      <w:r>
        <w:t xml:space="preserve">in-interface figures, and a plain-text record of the inputs and parameters of</w:t>
      </w:r>
      <w:r>
        <w:t xml:space="preserve"> </w:t>
      </w:r>
      <w:r>
        <w:t xml:space="preserve">each analysis. On identical inputs the C++ implementation agrees with the R</w:t>
      </w:r>
      <w:r>
        <w:t xml:space="preserve"> </w:t>
      </w:r>
      <w:r>
        <w:t xml:space="preserve">package to floating-point precision for every shared method; preparing the</w:t>
      </w:r>
      <w:r>
        <w:t xml:space="preserve"> </w:t>
      </w:r>
      <w:r>
        <w:t xml:space="preserve">port also revealed and corrected several defects in result aggregation, each</w:t>
      </w:r>
      <w:r>
        <w:t xml:space="preserve"> </w:t>
      </w:r>
      <w:r>
        <w:t xml:space="preserve">covered by a regression test.</w:t>
      </w:r>
    </w:p>
    <w:p>
      <w:pPr>
        <w:pStyle w:val="Abstract"/>
      </w:pPr>
      <w:r>
        <w:rPr>
          <w:b/>
          <w:bCs/>
        </w:rPr>
        <w:t xml:space="preserve">Availability and 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with Qt6 and built with CMake; the core</w:t>
      </w:r>
      <w:r>
        <w:t xml:space="preserve"> </w:t>
      </w:r>
      <w:r>
        <w:t xml:space="preserve">algorithm library requires only Qt Core and optionally links Eigen3, GSL and</w:t>
      </w:r>
      <w:r>
        <w:t xml:space="preserve"> </w:t>
      </w:r>
      <w:r>
        <w:t xml:space="preserve">OpenXLSX. Version 1.2.0 is distributed as a single self-contained executable</w:t>
      </w:r>
      <w:r>
        <w:t xml:space="preserve"> </w:t>
      </w:r>
      <w:r>
        <w:t xml:space="preserve">for Windows and macOS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, with pre-built binaries</w:t>
      </w:r>
      <w:r>
        <w:t xml:space="preserve"> </w:t>
      </w:r>
      <w:r>
        <w:t xml:space="preserve">in the repository releases; no registration is required, and the source</w:t>
      </w:r>
      <w:r>
        <w:t xml:space="preserve"> </w:t>
      </w:r>
      <w:r>
        <w:t xml:space="preserve">compiles on Linux. The software and its source will remain available for at</w:t>
      </w:r>
      <w:r>
        <w:t xml:space="preserve"> </w:t>
      </w:r>
      <w:r>
        <w:t xml:space="preserve">least two years.</w:t>
      </w:r>
    </w:p>
    <w:p>
      <w:pPr>
        <w:pStyle w:val="Abstract"/>
      </w:pP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lixiang117423@gmail.com</w:t>
      </w:r>
    </w:p>
    <w:p>
      <w:pPr>
        <w:pStyle w:val="Abstract"/>
      </w:pPr>
      <w:r>
        <w:rPr>
          <w:b/>
          <w:bCs/>
        </w:rPr>
        <w:t xml:space="preserve">Supplementary Information:</w:t>
      </w:r>
      <w:r>
        <w:t xml:space="preserve"> </w:t>
      </w:r>
      <w:r>
        <w:t xml:space="preserve">Supplementary Figures S1–S2 give the full</w:t>
      </w:r>
      <w:r>
        <w:t xml:space="preserve"> </w:t>
      </w:r>
      <w:r>
        <w:t xml:space="preserve">analysis output and the equivalence comparison, and Supplementary Table S1</w:t>
      </w:r>
      <w:r>
        <w:t xml:space="preserve"> </w:t>
      </w:r>
      <w:r>
        <w:t xml:space="preserve">summarises the equivalence across all shared methods.</w:t>
      </w:r>
    </w:p>
    <w:p>
      <w:pPr>
        <w:pStyle w:val="Heading1"/>
      </w:pPr>
      <w:bookmarkStart w:id="10" w:name="_introduction"/>
      <w:r>
        <w:t xml:space="preserve">Introduction</w:t>
      </w:r>
      <w:bookmarkEnd w:id="10"/>
    </w:p>
    <w:p>
      <w:pPr>
        <w:pStyle w:val="FirstParagraph"/>
      </w:pPr>
      <w:r>
        <w:t xml:space="preserve">Quantitative real-time PCR (qPCR) is among the most widely used techniques</w:t>
      </w:r>
      <w:r>
        <w:t xml:space="preserve"> </w:t>
      </w:r>
      <w:r>
        <w:t xml:space="preserve">in molecular biology for quantifying nucleic acids and measuring gene</w:t>
      </w:r>
      <w:r>
        <w:t xml:space="preserve"> </w:t>
      </w:r>
      <w:r>
        <w:t xml:space="preserve">expression</w:t>
      </w:r>
      <w:r>
        <w:t xml:space="preserve"> </w:t>
      </w:r>
      <w:r>
        <w:t xml:space="preserve">(1)</w:t>
      </w:r>
      <w:r>
        <w:t xml:space="preserve">. A sound analysis involves several</w:t>
      </w:r>
      <w:r>
        <w:t xml:space="preserve"> </w:t>
      </w:r>
      <w:r>
        <w:t xml:space="preserve">interdependent steps: estimating primer amplification efficiency, choosing a</w:t>
      </w:r>
      <w:r>
        <w:t xml:space="preserve"> </w:t>
      </w:r>
      <w:r>
        <w:t xml:space="preserve">quantification strategy, testing groups statistically, and preparing figures</w:t>
      </w:r>
      <w:r>
        <w:t xml:space="preserve"> </w:t>
      </w:r>
      <w:r>
        <w:t xml:space="preserve">(2)</w:t>
      </w:r>
      <w:r>
        <w:t xml:space="preserve">. When target and reference efficiencies are comparable,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</w:t>
      </w:r>
      <w:r>
        <w:t xml:space="preserve"> </w:t>
      </w:r>
      <w:r>
        <w:t xml:space="preserve">(3)</w:t>
      </w:r>
      <w:r>
        <w:t xml:space="preserve"> </w:t>
      </w:r>
      <w:r>
        <w:t xml:space="preserve">is convenient;</w:t>
      </w:r>
      <w:r>
        <w:t xml:space="preserve"> </w:t>
      </w:r>
      <w:r>
        <w:t xml:space="preserve">when they differ, an efficiency-corrected or standard-curve-based approach is</w:t>
      </w:r>
      <w:r>
        <w:t xml:space="preserve"> </w:t>
      </w:r>
      <w:r>
        <w:t xml:space="preserve">required</w:t>
      </w:r>
      <w:r>
        <w:t xml:space="preserve"> </w:t>
      </w:r>
      <w:r>
        <w:t xml:space="preserve">(4)</w:t>
      </w:r>
      <w:r>
        <w:t xml:space="preserve">. These choices, combined with the need for</w:t>
      </w:r>
      <w:r>
        <w:t xml:space="preserve"> </w:t>
      </w:r>
      <w:r>
        <w:t xml:space="preserve">rigorous statistics, make qPCR analysis demanding for many laboratory</w:t>
      </w:r>
      <w:r>
        <w:t xml:space="preserve"> </w:t>
      </w:r>
      <w:r>
        <w:t xml:space="preserve">researchers.</w:t>
      </w:r>
    </w:p>
    <w:p>
      <w:pPr>
        <w:pStyle w:val="BodyText"/>
      </w:pPr>
      <w:r>
        <w:t xml:space="preserve">A range of tools cover different parts of this workflow</w:t>
      </w:r>
      <w:r>
        <w:t xml:space="preserve"> </w:t>
      </w:r>
      <w:r>
        <w:t xml:space="preserve">(Table </w:t>
      </w:r>
      <w:hyperlink w:anchor="_c3e874fcf960b8b5056ae8f1867ac41b994c06c">
        <w:r>
          <w:rPr>
            <w:rStyle w:val="Hyperlink"/>
          </w:rPr>
          <w:t xml:space="preserve">1</w:t>
        </w:r>
      </w:hyperlink>
      <w:r>
        <w:t xml:space="preserve">). Scripting-based implementations—our own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(5)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pcr</w:t>
      </w:r>
      <w:r>
        <w:t xml:space="preserve"> </w:t>
      </w:r>
      <w:r>
        <w:t xml:space="preserve">(6)</w:t>
      </w:r>
      <w:r>
        <w:t xml:space="preserve">—implement the calculation chain transparently but</w:t>
      </w:r>
      <w:r>
        <w:t xml:space="preserve"> </w:t>
      </w:r>
      <w:r>
        <w:t xml:space="preserve">require programming skill and a configured environment. Software distributed</w:t>
      </w:r>
      <w:r>
        <w:t xml:space="preserve"> </w:t>
      </w:r>
      <w:r>
        <w:t xml:space="preserve">with real-time instruments (for example QuantStudio Design &amp; Analysis and</w:t>
      </w:r>
      <w:r>
        <w:t xml:space="preserve"> </w:t>
      </w:r>
      <w:r>
        <w:t xml:space="preserve">CFX Maestro) offers a graphical workflow but is tied to that instrument.</w:t>
      </w:r>
      <w:r>
        <w:t xml:space="preserve"> </w:t>
      </w:r>
      <w:r>
        <w:t xml:space="preserve">Free stand-alone programs cover single steps: REST</w:t>
      </w:r>
      <w:r>
        <w:t xml:space="preserve"> </w:t>
      </w:r>
      <w:r>
        <w:t xml:space="preserve">(7)</w:t>
      </w:r>
      <w:r>
        <w:t xml:space="preserve"> </w:t>
      </w:r>
      <w:r>
        <w:t xml:space="preserve">computes efficiency-based relative expression for two-group comparisons with</w:t>
      </w:r>
      <w:r>
        <w:t xml:space="preserve"> </w:t>
      </w:r>
      <w:r>
        <w:t xml:space="preserve">a randomisation test, LinRegPCR</w:t>
      </w:r>
      <w:r>
        <w:t xml:space="preserve"> </w:t>
      </w:r>
      <w:r>
        <w:t xml:space="preserve">(8,9)</w:t>
      </w:r>
      <w:r>
        <w:t xml:space="preserve"> </w:t>
      </w:r>
      <w:r>
        <w:t xml:space="preserve">estimates baseline and</w:t>
      </w:r>
      <w:r>
        <w:t xml:space="preserve"> </w:t>
      </w:r>
      <w:r>
        <w:t xml:space="preserve">efficiency from raw fluorescence, and qBase</w:t>
      </w:r>
      <w:r>
        <w:t xml:space="preserve"> </w:t>
      </w:r>
      <w:r>
        <w:t xml:space="preserve">(10)</w:t>
      </w:r>
      <w:r>
        <w:t xml:space="preserve"> </w:t>
      </w:r>
      <w:r>
        <w:t xml:space="preserve">implements relative quantification with the geNorm stability measure</w:t>
      </w:r>
      <w:r>
        <w:t xml:space="preserve"> </w:t>
      </w:r>
      <w:r>
        <w:t xml:space="preserve">(11)</w:t>
      </w:r>
      <w:r>
        <w:t xml:space="preserve">. Free web applications—SATQPCR</w:t>
      </w:r>
      <w:r>
        <w:t xml:space="preserve"> </w:t>
      </w:r>
      <w:r>
        <w:t xml:space="preserve">(12)</w:t>
      </w:r>
      <w:r>
        <w:t xml:space="preserve">, DAG Expression</w:t>
      </w:r>
      <w:r>
        <w:t xml:space="preserve"> </w:t>
      </w:r>
      <w:r>
        <w:t xml:space="preserve">(13)</w:t>
      </w:r>
      <w:r>
        <w:t xml:space="preserve"> </w:t>
      </w:r>
      <w:r>
        <w:t xml:space="preserve">and</w:t>
      </w:r>
      <w:r>
        <w:t xml:space="preserve"> </w:t>
      </w:r>
      <w:r>
        <w:t xml:space="preserve">Auto-qPCR</w:t>
      </w:r>
      <w:r>
        <w:t xml:space="preserve"> </w:t>
      </w:r>
      <w:r>
        <w:t xml:space="preserve">(14)</w:t>
      </w:r>
      <w:r>
        <w:t xml:space="preserve">—integrate several steps but require</w:t>
      </w:r>
      <w:r>
        <w:t xml:space="preserve"> </w:t>
      </w:r>
      <w:r>
        <w:t xml:space="preserve">uploading the data to a remote server or deploying the web stack locally. The</w:t>
      </w:r>
      <w:r>
        <w:t xml:space="preserve"> </w:t>
      </w:r>
      <w:r>
        <w:t xml:space="preserve">gap is therefore not a missing algorithm but a missing delivery mode:</w:t>
      </w:r>
      <w:r>
        <w:t xml:space="preserve"> </w:t>
      </w:r>
      <w:r>
        <w:rPr>
          <w:i/>
          <w:iCs/>
        </w:rPr>
        <w:t xml:space="preserve">validated numerical equivalence</w:t>
      </w:r>
      <w:r>
        <w:t xml:space="preserve"> </w:t>
      </w:r>
      <w:r>
        <w:t xml:space="preserve">to a published implementation combined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native, cross-platform, zero-dependency</w:t>
      </w:r>
      <w:r>
        <w:t xml:space="preserve"> </w:t>
      </w:r>
      <w:r>
        <w:t xml:space="preserve">graphical workflow.</w:t>
      </w:r>
    </w:p>
    <w:bookmarkStart w:id="11" w:name="_c3e874fcf960b8b5056ae8f1867ac41b994c06c"/>
    <w:p>
      <w:pPr>
        <w:pStyle w:val="TableCaption"/>
        <w:jc w:val="both"/>
      </w:pPr>
      <w:r>
        <w:rPr>
          <w:rFonts w:ascii="Arial" w:hAnsi="Arial"/>
          <w:b/>
          <w:sz w:val="19"/>
        </w:rPr>
        <w:t xml:space="preserve">Table 1. </w:t>
      </w:r>
      <w:r>
        <w:rPr>
          <w:sz w:val="19"/>
        </w:rPr>
        <w:t xml:space="preserve">Delivery mode and functionality of representative qPCR analysis</w:t>
      </w:r>
      <w:r>
        <w:rPr>
          <w:sz w:val="19"/>
        </w:rPr>
        <w:t xml:space="preserve"> </w:t>
      </w:r>
      <w:r>
        <w:rPr>
          <w:sz w:val="19"/>
        </w:rPr>
        <w:t xml:space="preserve">tools.</w:t>
      </w:r>
      <w:r>
        <w:rPr>
          <w:sz w:val="19"/>
        </w:rPr>
        <w:t xml:space="preserve"> 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 not 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/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partial or</w:t>
      </w:r>
      <w:r>
        <w:rPr>
          <w:sz w:val="19"/>
        </w:rPr>
        <w:t xml:space="preserve"> </w:t>
      </w:r>
      <w:r>
        <w:rPr>
          <w:sz w:val="19"/>
        </w:rPr>
        <w:t xml:space="preserve">version-dependent (statistics were added in the later qBase+ release; vendor</w:t>
      </w:r>
      <w:r>
        <w:rPr>
          <w:sz w:val="19"/>
        </w:rPr>
        <w:t xml:space="preserve"> </w:t>
      </w:r>
      <w:r>
        <w:rPr>
          <w:sz w:val="19"/>
        </w:rPr>
        <w:t xml:space="preserve">software differs between instruments and versions). Compiled from the cited</w:t>
      </w:r>
      <w:r>
        <w:rPr>
          <w:sz w:val="19"/>
        </w:rPr>
        <w:t xml:space="preserve"> </w:t>
      </w:r>
      <w:r>
        <w:rPr>
          <w:sz w:val="19"/>
        </w:rPr>
        <w:t xml:space="preserve">papers, the vendors’ documentation and the survey of Pabinger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et al.</w:t>
      </w:r>
      <w:r>
        <w:rPr>
          <w:sz w:val="19"/>
        </w:rPr>
        <w:t xml:space="preserve"> </w:t>
      </w:r>
      <w:r>
        <w:rPr>
          <w:sz w:val="19"/>
        </w:rPr>
        <w:t xml:space="preserve">(15)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a</w:t>
      </w:r>
      <w:r>
        <w:rPr>
          <w:sz w:val="19"/>
        </w:rPr>
        <w:t xml:space="preserve"> 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(5)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pcr</w:t>
      </w:r>
      <w:r>
        <w:rPr>
          <w:sz w:val="19"/>
        </w:rPr>
        <w:t xml:space="preserve"> </w:t>
      </w:r>
      <w:r>
        <w:rPr>
          <w:sz w:val="19"/>
        </w:rPr>
        <w:t xml:space="preserve">(6)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b</w:t>
      </w:r>
      <w:r>
        <w:rPr>
          <w:sz w:val="19"/>
        </w:rPr>
        <w:t xml:space="preserve"> QuantStudio Design &amp; Analysis, CFX Maestro.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c</w:t>
      </w:r>
      <w:r>
        <w:rPr>
          <w:sz w:val="19"/>
        </w:rPr>
        <w:t xml:space="preserve"> SATQPCR</w:t>
      </w:r>
      <w:r>
        <w:rPr>
          <w:sz w:val="19"/>
        </w:rPr>
        <w:t xml:space="preserve"> </w:t>
      </w:r>
      <w:r>
        <w:rPr>
          <w:sz w:val="19"/>
        </w:rPr>
        <w:t xml:space="preserve">(12)</w:t>
      </w:r>
      <w:r>
        <w:rPr>
          <w:sz w:val="19"/>
        </w:rPr>
        <w:t xml:space="preserve">, DAG Expression</w:t>
      </w:r>
      <w:r>
        <w:rPr>
          <w:sz w:val="19"/>
        </w:rPr>
        <w:t xml:space="preserve"> </w:t>
      </w:r>
      <w:r>
        <w:rPr>
          <w:sz w:val="19"/>
        </w:rPr>
        <w:t xml:space="preserve">(13)</w:t>
      </w:r>
      <w:r>
        <w:rPr>
          <w:sz w:val="19"/>
        </w:rPr>
        <w:t xml:space="preserve">, Auto-qPCR</w:t>
      </w:r>
      <w:r>
        <w:rPr>
          <w:sz w:val="19"/>
        </w:rPr>
        <w:t xml:space="preserve"> </w:t>
      </w:r>
      <w:r>
        <w:rPr>
          <w:sz w:val="19"/>
        </w:rPr>
        <w:t xml:space="preserve">(14)</w:t>
      </w:r>
      <w:r>
        <w:rPr>
          <w:sz w:val="19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livery mode and functionality of representative qPCR analysis tools. \bullet provided, \circ not provided, \circ/\bullet partial or version-dependent (statistics were added in the later qBase+ release; vendor software differs between instruments and versions). Compiled from the cited papers, the vendors’ documentation and the survey of Pabinger et al. (15). a qPCRtools (5), pcr (6). b QuantStudio Design &amp; Analysis, CFX Maestro. c SATQPCR (12), DAG Expression (13), Auto-qPCR (14)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Free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No coding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Offline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Efficiency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Statistics</w:t>
            </w:r>
          </w:p>
        </w:tc>
        <w:tc>
          <w:tcPr>
            <w:tcBorders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center"/>
            </w:pPr>
            <w:r>
              <w:t xml:space="preserve">Ref. 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packages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application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LinRegPCR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qBase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software</w:t>
            </w:r>
            <w:r>
              <w:rPr>
                <w:vertAlign w:val="superscript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</w:tr>
      <w:tr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left"/>
            </w:pPr>
            <w:r>
              <w:t xml:space="preserve">Web apps</w:t>
            </w:r>
            <w:r>
              <w:rPr>
                <w:vertAlign w:val="superscript"/>
              </w:rPr>
              <w:t xml:space="preserve">c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​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​</w:t>
            </w:r>
          </w:p>
        </w:tc>
      </w:tr>
    </w:tbl>
    <w:bookmarkEnd w:id="11"/>
    <w:p>
      <w:pPr>
        <w:pStyle w:val="Heading2"/>
      </w:pPr>
      <w:bookmarkStart w:id="12" w:name="_db63912bafc3b2d96eebb0fc0fe2e98117fd1c5"/>
      <w:r>
        <w:t xml:space="preserve">Statement of need</w:t>
      </w:r>
      <w:bookmarkEnd w:id="12"/>
    </w:p>
    <w:p>
      <w:pPr>
        <w:pStyle w:val="FirstParagraph"/>
      </w:pPr>
      <w:r>
        <w:t xml:space="preserve">The programming requirement is not a marginal obstacle. In our own teaching</w:t>
      </w:r>
      <w:r>
        <w:t xml:space="preserve"> </w:t>
      </w:r>
      <w:r>
        <w:t xml:space="preserve">and collaborative work, the users who most need a defensible qPCR analysis</w:t>
      </w:r>
      <w:r>
        <w:t xml:space="preserve"> </w:t>
      </w:r>
      <w:r>
        <w:t xml:space="preserve">are frequently those least able to install an R environment and write the</w:t>
      </w:r>
      <w:r>
        <w:t xml:space="preserve"> </w:t>
      </w:r>
      <w:r>
        <w:t xml:space="preserve">few lines of code the analysis requires: newly enrolled students, visiting</w:t>
      </w:r>
      <w:r>
        <w:t xml:space="preserve"> </w:t>
      </w:r>
      <w:r>
        <w:t xml:space="preserve">researchers, and wet-lab staff whose projects run for a single season. They</w:t>
      </w:r>
      <w:r>
        <w:t xml:space="preserve"> </w:t>
      </w:r>
      <w:r>
        <w:t xml:space="preserve">fall back either on manual spreadsheet calculations—difficult to audit and</w:t>
      </w:r>
      <w:r>
        <w:t xml:space="preserve"> </w:t>
      </w:r>
      <w:r>
        <w:t xml:space="preserve">easy to get wrong—or on whichever instrument software happens to be</w:t>
      </w:r>
      <w:r>
        <w:t xml:space="preserve"> </w:t>
      </w:r>
      <w:r>
        <w:t xml:space="preserve">installed. Our R package</w:t>
      </w:r>
      <w:r>
        <w:t xml:space="preserve"> </w:t>
      </w:r>
      <w:r>
        <w:t xml:space="preserve">(5)</w:t>
      </w:r>
      <w:r>
        <w:t xml:space="preserve"> </w:t>
      </w:r>
      <w:r>
        <w:t xml:space="preserve">provides the algorithms, and</w:t>
      </w:r>
      <w:r>
        <w:t xml:space="preserve"> </w:t>
      </w:r>
      <w:r>
        <w:t xml:space="preserve">its adoption since 2022 shows that the analytical choices it implements are</w:t>
      </w:r>
      <w:r>
        <w:t xml:space="preserve"> </w:t>
      </w:r>
      <w:r>
        <w:t xml:space="preserve">accepted in published work, but that adoption is bounded by the R environment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We therefore reimplemented the analytical core as a native desktop</w:t>
      </w:r>
      <w:r>
        <w:t xml:space="preserve"> </w:t>
      </w:r>
      <w:r>
        <w:t xml:space="preserve">application, keeping the validated behaviour of the R implementation while</w:t>
      </w:r>
      <w:r>
        <w:t xml:space="preserve"> </w:t>
      </w:r>
      <w:r>
        <w:t xml:space="preserve">removing every prerequisite except a double-click.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makes</w:t>
      </w:r>
      <w:r>
        <w:t xml:space="preserve"> </w:t>
      </w:r>
      <w:r>
        <w:t xml:space="preserve">three contributions: (i) a C++/Qt architecture in which a tested core</w:t>
      </w:r>
      <w:r>
        <w:t xml:space="preserve"> </w:t>
      </w:r>
      <w:r>
        <w:t xml:space="preserve">algorithm library is decoupled from a web-based user interface; (ii) a</w:t>
      </w:r>
      <w:r>
        <w:t xml:space="preserve"> </w:t>
      </w:r>
      <w:r>
        <w:t xml:space="preserve">validation demonstrating numerical equivalence to the R package across all</w:t>
      </w:r>
      <w:r>
        <w:t xml:space="preserve"> </w:t>
      </w:r>
      <w:r>
        <w:t xml:space="preserve">shared methods, shipped as a reproducible validation package; and</w:t>
      </w:r>
      <w:r>
        <w:t xml:space="preserve"> </w:t>
      </w:r>
      <w:r>
        <w:t xml:space="preserve">(iii) statistical and functional extensions beyond the R version</w:t>
      </w:r>
      <w:r>
        <w:t xml:space="preserve"> </w:t>
      </w:r>
      <w:r>
        <w:t xml:space="preserve">(non-parametric tests, effect sizes, outlier removal, quality-control</w:t>
      </w:r>
      <w:r>
        <w:t xml:space="preserve"> </w:t>
      </w:r>
      <w:r>
        <w:t xml:space="preserve">warnings, automatic reference-gene selection). Preparing the port also</w:t>
      </w:r>
      <w:r>
        <w:t xml:space="preserve"> </w:t>
      </w:r>
      <w:r>
        <w:t xml:space="preserve">revealed defects in result aggregation shared with the R package—the input</w:t>
      </w:r>
      <w:r>
        <w:t xml:space="preserve"> </w:t>
      </w:r>
      <w:r>
        <w:t xml:space="preserve">of the reference-gene stability measure, replicate handling in the efficiency</w:t>
      </w:r>
      <w:r>
        <w:t xml:space="preserve"> </w:t>
      </w:r>
      <w:r>
        <w:t xml:space="preserve">method,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calibrator—as well as one specific to the</w:t>
      </w:r>
      <w:r>
        <w:t xml:space="preserve"> </w:t>
      </w:r>
      <w:r>
        <w:t xml:space="preserve">C++ code (multiple-comparison</w:t>
      </w:r>
      <w:r>
        <w:t xml:space="preserve"> </w:t>
      </w:r>
      <m:oMath>
        <m:r>
          <m:t>p</m:t>
        </m:r>
      </m:oMath>
      <w:r>
        <w:t xml:space="preserve">-values); all were corrected and are covered</w:t>
      </w:r>
      <w:r>
        <w:t xml:space="preserve"> </w:t>
      </w:r>
      <w:r>
        <w:t xml:space="preserve">by regression tests.</w:t>
      </w:r>
    </w:p>
    <w:p>
      <w:pPr>
        <w:pStyle w:val="Heading1"/>
      </w:pPr>
      <w:bookmarkStart w:id="13" w:name="_implementation"/>
      <w:r>
        <w:t xml:space="preserve">Implementation</w:t>
      </w:r>
      <w:bookmarkEnd w:id="13"/>
    </w:p>
    <w:p>
      <w:pPr>
        <w:pStyle w:val="Heading2"/>
      </w:pPr>
      <w:bookmarkStart w:id="14" w:name="_architecture"/>
      <w:r>
        <w:t xml:space="preserve">Architecture</w:t>
      </w:r>
      <w:bookmarkEnd w:id="14"/>
    </w:p>
    <w:p>
      <w:pPr>
        <w:pStyle w:val="FirstParagraph"/>
      </w:pP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and built on Qt6</w:t>
      </w:r>
      <w:r>
        <w:t xml:space="preserve"> </w:t>
      </w:r>
      <w:r>
        <w:t xml:space="preserve">(16)</w:t>
      </w:r>
      <w:r>
        <w:t xml:space="preserve">. The user</w:t>
      </w:r>
      <w:r>
        <w:t xml:space="preserve"> </w:t>
      </w:r>
      <w:r>
        <w:t xml:space="preserve">interface is rendered with web technologies—Bootstrap 5.3 for layout and</w:t>
      </w:r>
      <w:r>
        <w:t xml:space="preserve"> </w:t>
      </w:r>
      <w:r>
        <w:t xml:space="preserve">Apache ECharts</w:t>
      </w:r>
      <w:r>
        <w:t xml:space="preserve"> </w:t>
      </w:r>
      <w:r>
        <w:t xml:space="preserve">(17)</w:t>
      </w:r>
      <w:r>
        <w:t xml:space="preserve"> </w:t>
      </w:r>
      <w:r>
        <w:t xml:space="preserve">for figures—inside a</w:t>
      </w:r>
      <w:r>
        <w:t xml:space="preserve"> </w:t>
      </w:r>
      <w:r>
        <w:rPr>
          <w:rStyle w:val="VerbatimChar"/>
        </w:rPr>
        <w:t xml:space="preserve">QWebEngineView</w:t>
      </w:r>
      <w:r>
        <w:t xml:space="preserve">, and exchanges data with the native backend through</w:t>
      </w:r>
      <w:r>
        <w:t xml:space="preserve"> </w:t>
      </w:r>
      <w:r>
        <w:t xml:space="preserve">Qt WebChannel. All numerical computation therefore stays in compiled code</w:t>
      </w:r>
      <w:r>
        <w:t xml:space="preserve"> </w:t>
      </w:r>
      <w:r>
        <w:t xml:space="preserve">while the presentation layer remains plain HTML, CSS and JavaScript. The</w:t>
      </w:r>
      <w:r>
        <w:t xml:space="preserve"> </w:t>
      </w:r>
      <w:r>
        <w:t xml:space="preserve">analytical core is a standalone static library,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that</w:t>
      </w:r>
      <w:r>
        <w:t xml:space="preserve"> </w:t>
      </w:r>
      <w:r>
        <w:t xml:space="preserve">depends only on Qt Core (plus optional Eigen and GSL) and is independent of</w:t>
      </w:r>
      <w:r>
        <w:t xml:space="preserve"> </w:t>
      </w:r>
      <w:r>
        <w:t xml:space="preserve">the GUI, so it is exercised directly by the unit tests and by the</w:t>
      </w:r>
      <w:r>
        <w:t xml:space="preserve"> </w:t>
      </w:r>
      <w:r>
        <w:t xml:space="preserve">command-line equivalence driver. Figure </w:t>
      </w:r>
      <w:hyperlink w:anchor="_3b837d3fe3ac2258d200b27a800c99d56883dbb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interface at the end of a complete analysis.</w:t>
      </w:r>
    </w:p>
    <w:bookmarkStart w:id="18" w:name="_3b837d3fe3ac2258d200b27a800c99d56883dbb"/>
    <w:p>
      <w:pPr>
        <w:pStyle w:val="CaptionedFigure"/>
        <w:jc w:val="center"/>
      </w:pPr>
      <w:r>
        <w:drawing>
          <wp:inline>
            <wp:extent cx="5400000" cy="366703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1_results_page_en_v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6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1. </w:t>
      </w:r>
      <w:r>
        <w:rPr>
          <w:sz w:val="19"/>
        </w:rPr>
        <w:t xml:space="preserve">The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desktop interface (screen capture of</w:t>
      </w:r>
      <w:r>
        <w:rPr>
          <w:sz w:val="19"/>
        </w:rPr>
        <w:t xml:space="preserve"> </w:t>
      </w:r>
      <w:r>
        <w:rPr>
          <w:sz w:val="19"/>
        </w:rPr>
        <w:t xml:space="preserve">version 1.2.0). A single cross-platform window hosts the web-based UI,</w:t>
      </w:r>
      <w:r>
        <w:rPr>
          <w:sz w:val="19"/>
        </w:rPr>
        <w:t xml:space="preserve"> </w:t>
      </w:r>
      <w:r>
        <w:rPr>
          <w:sz w:val="19"/>
        </w:rPr>
        <w:t xml:space="preserve">giving access to the four analysis areas (standard curve,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/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, statistical tests and data-entry</w:t>
      </w:r>
      <w:r>
        <w:rPr>
          <w:sz w:val="19"/>
        </w:rPr>
        <w:t xml:space="preserve"> </w:t>
      </w:r>
      <w:r>
        <w:rPr>
          <w:sz w:val="19"/>
        </w:rPr>
        <w:t xml:space="preserve">templates). Both parts are the results page of the bundled example—the</w:t>
      </w:r>
      <w:r>
        <w:rPr>
          <w:sz w:val="19"/>
        </w:rPr>
        <w:t xml:space="preserve"> </w:t>
      </w:r>
      <w:r>
        <w:rPr>
          <w:sz w:val="19"/>
        </w:rPr>
        <w:t xml:space="preserve">target gene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normalised to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Beta Actin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sz w:val="19"/>
        </w:rPr>
        <w:t xml:space="preserve">three dose groups with three biological replicates each—analysed by the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 with Welch tests against the control, the two</w:t>
      </w:r>
      <w:r>
        <w:rPr>
          <w:sz w:val="19"/>
        </w:rPr>
        <w:t xml:space="preserve"> </w:t>
      </w:r>
      <w:r>
        <w:rPr>
          <w:sz w:val="19"/>
        </w:rPr>
        <w:t xml:space="preserve">parts being cropped from one window scrolled to two positions (upper</w:t>
      </w:r>
      <w:r>
        <w:rPr>
          <w:sz w:val="19"/>
        </w:rPr>
        <w:t xml:space="preserve"> </w:t>
      </w:r>
      <w:r>
        <w:rPr>
          <w:sz w:val="19"/>
        </w:rPr>
        <w:t xml:space="preserve">part: summary table; lower part: the in-interface figure). The summary</w:t>
      </w:r>
      <w:r>
        <w:rPr>
          <w:sz w:val="19"/>
        </w:rPr>
        <w:t xml:space="preserve"> </w:t>
      </w:r>
      <w:r>
        <w:rPr>
          <w:sz w:val="19"/>
        </w:rPr>
        <w:t xml:space="preserve">table reports the mean relative expression, its standard deviation, the</w:t>
      </w:r>
      <w:r>
        <w:rPr>
          <w:sz w:val="19"/>
        </w:rPr>
        <w:t xml:space="preserve"> </w:t>
      </w:r>
      <m:oMath>
        <m:r>
          <m:t>p</m:t>
        </m:r>
      </m:oMath>
      <w:r>
        <w:rPr>
          <w:sz w:val="19"/>
        </w:rPr>
        <w:t xml:space="preserve">-value and the significance symbol for each group; the figure redraws</w:t>
      </w:r>
      <w:r>
        <w:rPr>
          <w:sz w:val="19"/>
        </w:rPr>
        <w:t xml:space="preserve"> </w:t>
      </w:r>
      <w:r>
        <w:rPr>
          <w:sz w:val="19"/>
        </w:rPr>
        <w:t xml:space="preserve">the same means with standard-deviation error bars and the significance</w:t>
      </w:r>
      <w:r>
        <w:rPr>
          <w:sz w:val="19"/>
        </w:rPr>
        <w:t xml:space="preserve"> </w:t>
      </w:r>
      <w:r>
        <w:rPr>
          <w:sz w:val="19"/>
        </w:rPr>
        <w:t xml:space="preserve">symbols. The interface is bilingual (Chinese/English); the English</w:t>
      </w:r>
      <w:r>
        <w:rPr>
          <w:sz w:val="19"/>
        </w:rPr>
        <w:t xml:space="preserve"> </w:t>
      </w:r>
      <w:r>
        <w:rPr>
          <w:sz w:val="19"/>
        </w:rPr>
        <w:t xml:space="preserve">language is shown here.</w:t>
      </w:r>
    </w:p>
    <w:bookmarkEnd w:id="18"/>
    <w:p>
      <w:pPr>
        <w:pStyle w:val="Heading2"/>
      </w:pPr>
      <w:bookmarkStart w:id="19" w:name="_c0ed66cae81bb692418be696b2d849edcf6b6bc"/>
      <w:r>
        <w:t xml:space="preserve">Quantification algorithms</w:t>
      </w:r>
      <w:bookmarkEnd w:id="19"/>
    </w:p>
    <w:p>
      <w:pPr>
        <w:pStyle w:val="FirstParagraph"/>
      </w:pPr>
      <w:r>
        <w:t xml:space="preserve">The core reimplements the methods of the R package. Amplification efficiency</w:t>
      </w:r>
      <w:r>
        <w:t xml:space="preserve"> </w:t>
      </w:r>
      <w:r>
        <w:t xml:space="preserve">is obtained by ordinary least squares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rPr>
            <m:nor/>
          </m:rPr>
          <m:t>concentration</m:t>
        </m:r>
        <m:r>
          <m:rPr>
            <m:sty m:val="p"/>
          </m:rPr>
          <m:t>)</m:t>
        </m:r>
      </m:oMath>
      <w:r>
        <w:t xml:space="preserve">, i.e. the number of</w:t>
      </w:r>
      <w:r>
        <w:t xml:space="preserve"> </w:t>
      </w:r>
      <m:oMath>
        <m:r>
          <m:t>d</m:t>
        </m:r>
      </m:oMath>
      <w:r>
        <w:t xml:space="preserve">-fold dilution</w:t>
      </w:r>
      <w:r>
        <w:t xml:space="preserve"> </w:t>
      </w:r>
      <w:r>
        <w:t xml:space="preserve">steps (</w:t>
      </w:r>
      <m:oMath>
        <m:r>
          <m:t>d</m:t>
        </m:r>
      </m:oMath>
      <w:r>
        <w:t xml:space="preserve"> </w:t>
      </w:r>
      <w:r>
        <w:t xml:space="preserve">= dilution factor, 4 in the bundled example), yielding slope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intercept,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regression</w:t>
      </w:r>
      <w:r>
        <w:t xml:space="preserve"> </w:t>
      </w:r>
      <m:oMath>
        <m:r>
          <m:t>p</m:t>
        </m:r>
      </m:oMath>
      <w:r>
        <w:t xml:space="preserve">-value; efficiency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s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expressed per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 (equivalently, per dilution step).</w:t>
      </w:r>
      <w:r>
        <w:t xml:space="preserve"> </w:t>
      </w:r>
      <w:r>
        <w:t xml:space="preserve">Relative expression is computed by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methods</w:t>
      </w:r>
      <w:r>
        <w:t xml:space="preserve"> </w:t>
      </w:r>
      <w:r>
        <w:t xml:space="preserve">(3)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an efficiency-based (RqPCR) method</w:t>
      </w:r>
      <w:r>
        <w:t xml:space="preserve"> </w:t>
      </w:r>
      <w:r>
        <w:t xml:space="preserve">(12)</w:t>
      </w:r>
      <w:r>
        <w:t xml:space="preserve"> </w:t>
      </w:r>
      <w:r>
        <w:t xml:space="preserve">in which</w:t>
      </w:r>
      <w:r>
        <w:t xml:space="preserve"> </w:t>
      </w:r>
      <w:r>
        <w:t xml:space="preserve">per-sample quantities are</w:t>
      </w:r>
      <w:r>
        <w:t xml:space="preserve"> </w:t>
      </w:r>
      <m:oMath>
        <m:sSup>
          <m:e>
            <m:r>
              <m:t>E</m:t>
            </m:r>
          </m:e>
          <m:sup>
            <m:r>
              <m:t> </m:t>
            </m:r>
            <m:sSub>
              <m:e>
                <m:r>
                  <m:t>C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sup>
        </m:sSup>
      </m:oMath>
      <w:r>
        <w:t xml:space="preserve">, normalized by the geometric</w:t>
      </w:r>
      <w:r>
        <w:t xml:space="preserve"> </w:t>
      </w:r>
      <w:r>
        <w:t xml:space="preserve">mean of one or more reference genes</w:t>
      </w:r>
      <w:r>
        <w:t xml:space="preserve"> </w:t>
      </w:r>
      <w:r>
        <w:t xml:space="preserve">(4)</w:t>
      </w:r>
      <w:r>
        <w:t xml:space="preserve">.</w:t>
      </w:r>
    </w:p>
    <w:p>
      <w:pPr>
        <w:pStyle w:val="Heading2"/>
      </w:pPr>
      <w:bookmarkStart w:id="20" w:name="_d5249b3a2e3f62adee575876c26009231d87b92"/>
      <w:r>
        <w:t xml:space="preserve">Statistical analysis</w:t>
      </w:r>
      <w:bookmarkEnd w:id="20"/>
    </w:p>
    <w:p>
      <w:pPr>
        <w:pStyle w:val="FirstParagraph"/>
      </w:pPr>
      <w:r>
        <w:t xml:space="preserve">Groups are compared on the linear relative-expression scale—the scale on</w:t>
      </w:r>
      <w:r>
        <w:t xml:space="preserve"> </w:t>
      </w:r>
      <w:r>
        <w:t xml:space="preserve">which values are reported and plotted, and the one used by the R</w:t>
      </w:r>
      <w:r>
        <w:t xml:space="preserve"> </w:t>
      </w:r>
      <w:r>
        <w:t xml:space="preserve">implementation—rather than 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; the choice is stated because</w:t>
      </w:r>
      <w:r>
        <w:t xml:space="preserve"> </w:t>
      </w:r>
      <w:r>
        <w:t xml:space="preserve">the two scales give different</w:t>
      </w:r>
      <w:r>
        <w:t xml:space="preserve"> </w:t>
      </w:r>
      <m:oMath>
        <m:r>
          <m:t>p</m:t>
        </m:r>
      </m:oMath>
      <w:r>
        <w:t xml:space="preserve">-values for the same data, and a single</w:t>
      </w:r>
      <w:r>
        <w:t xml:space="preserve"> </w:t>
      </w:r>
      <w:r>
        <w:t xml:space="preserve">scale is applied throughout the application and the validation. The core</w:t>
      </w:r>
      <w:r>
        <w:t xml:space="preserve"> </w:t>
      </w:r>
      <w:r>
        <w:t xml:space="preserve">library implements Welch and Student two-sample</w:t>
      </w:r>
      <w:r>
        <w:t xml:space="preserve"> </w:t>
      </w:r>
      <m:oMath>
        <m:r>
          <m:t>t</m:t>
        </m:r>
      </m:oMath>
      <w:r>
        <w:t xml:space="preserve">-tests, the paired</w:t>
      </w:r>
      <w:r>
        <w:t xml:space="preserve"> </w:t>
      </w:r>
      <m:oMath>
        <m:r>
          <m:t>t</m:t>
        </m:r>
      </m:oMath>
      <w:r>
        <w:t xml:space="preserve">-test, Wilcoxon rank-sum and signed-rank tests, one-way ANOVA with Tukey</w:t>
      </w:r>
      <w:r>
        <w:t xml:space="preserve"> </w:t>
      </w:r>
      <w:r>
        <w:t xml:space="preserve">HSD letters, Cohen’s</w:t>
      </w:r>
      <w:r>
        <w:t xml:space="preserve"> </w:t>
      </w:r>
      <m:oMath>
        <m:r>
          <m:t>d</m:t>
        </m:r>
      </m:oMath>
      <w:r>
        <w:t xml:space="preserve">, IQR-based outlier removal and automatic</w:t>
      </w:r>
      <w:r>
        <w:t xml:space="preserve"> </w:t>
      </w:r>
      <w:r>
        <w:t xml:space="preserve">reference-gene selection by geNorm</w:t>
      </w:r>
      <w:r>
        <w:t xml:space="preserve"> </w:t>
      </w:r>
      <w:r>
        <w:t xml:space="preserve">(11)</w:t>
      </w:r>
      <w:r>
        <w:t xml:space="preserve">; the</w:t>
      </w:r>
      <w:r>
        <w:t xml:space="preserve"> </w:t>
      </w:r>
      <w:r>
        <w:t xml:space="preserve">interface exposes the Welch</w:t>
      </w:r>
      <w:r>
        <w:t xml:space="preserve"> </w:t>
      </w:r>
      <m:oMath>
        <m:r>
          <m:t>t</m:t>
        </m:r>
      </m:oMath>
      <w:r>
        <w:t xml:space="preserve">-test, the rank-sum test and ANOVA with Tukey</w:t>
      </w:r>
      <w:r>
        <w:t xml:space="preserve"> </w:t>
      </w:r>
      <w:r>
        <w:t xml:space="preserve">HSD, while the paired tests are covered by the test suite but not yet offered</w:t>
      </w:r>
      <w:r>
        <w:t xml:space="preserve"> </w:t>
      </w:r>
      <w:r>
        <w:t xml:space="preserve">in the interface. For multi-group designs Tukey’s HSD controls the family-wise</w:t>
      </w:r>
      <w:r>
        <w:t xml:space="preserve"> </w:t>
      </w:r>
      <w:r>
        <w:t xml:space="preserve">error rate across the pairwise comparisons of a gene; the reported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are per gene and are not additionally corrected across genes, which we state</w:t>
      </w:r>
      <w:r>
        <w:t xml:space="preserve"> </w:t>
      </w:r>
      <w:r>
        <w:t xml:space="preserve">as a limitation rather than leave implicit.</w:t>
      </w:r>
    </w:p>
    <w:p>
      <w:pPr>
        <w:pStyle w:val="Heading2"/>
      </w:pPr>
      <w:bookmarkStart w:id="21" w:name="_fbcff992e236e2c617dfda0ae31fba9c85180c6"/>
      <w:r>
        <w:t xml:space="preserve">Software engineering and scope</w:t>
      </w:r>
      <w:bookmarkEnd w:id="21"/>
    </w:p>
    <w:p>
      <w:pPr>
        <w:pStyle w:val="FirstParagraph"/>
      </w:pPr>
      <w:r>
        <w:t xml:space="preserve">Results are shown as tables that can be exported as CSV or Excel, with Tukey</w:t>
      </w:r>
      <w:r>
        <w:t xml:space="preserve"> </w:t>
      </w:r>
      <w:r>
        <w:t xml:space="preserve">letters in the table. The application renders the figures in the interface:</w:t>
      </w:r>
      <w:r>
        <w:t xml:space="preserve"> </w:t>
      </w:r>
      <w:r>
        <w:t xml:space="preserve">group means with standard-deviation error bars and significance labels, and</w:t>
      </w:r>
      <w:r>
        <w:t xml:space="preserve"> </w:t>
      </w:r>
      <w:r>
        <w:t xml:space="preserve">the fitted standard curves over the measured dilution series, both exportable</w:t>
      </w:r>
      <w:r>
        <w:t xml:space="preserve"> </w:t>
      </w:r>
      <w:r>
        <w:t xml:space="preserve">as PNG images. Each analysis can also be exported as a plain-text</w:t>
      </w:r>
      <w:r>
        <w:t xml:space="preserve"> </w:t>
      </w:r>
      <w:r>
        <w:rPr>
          <w:i/>
          <w:iCs/>
        </w:rPr>
        <w:t xml:space="preserve">analysis record</w:t>
      </w:r>
      <w:r>
        <w:t xml:space="preserve"> </w:t>
      </w:r>
      <w:r>
        <w:t xml:space="preserve">listing the input files and their row counts, the</w:t>
      </w:r>
      <w:r>
        <w:t xml:space="preserve"> </w:t>
      </w:r>
      <w:r>
        <w:t xml:space="preserve">reference gene(s), the control group, the statistical test, the</w:t>
      </w:r>
      <w:r>
        <w:t xml:space="preserve"> </w:t>
      </w:r>
      <w:r>
        <w:t xml:space="preserve">outlier-removal setting, the software version and a timestamp, so that a</w:t>
      </w:r>
      <w:r>
        <w:t xml:space="preserve"> </w:t>
      </w:r>
      <w:r>
        <w:t xml:space="preserve">reader can re-run the analysis without inspecting the session. Quality</w:t>
      </w:r>
      <w:r>
        <w:t xml:space="preserve"> </w:t>
      </w:r>
      <w:r>
        <w:t xml:space="preserve">control is reported as warnings rather than decisions: wells with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above</w:t>
      </w:r>
      <w:r>
        <w:t xml:space="preserve"> </w:t>
      </w:r>
      <w:r>
        <w:t xml:space="preserve">a configurable limit (default 35), samples whose technical replicates differ</w:t>
      </w:r>
      <w:r>
        <w:t xml:space="preserve"> </w:t>
      </w:r>
      <w:r>
        <w:t xml:space="preserve">by more than a configurable standard deviation (default 0.5 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), and</w:t>
      </w:r>
      <w:r>
        <w:t xml:space="preserve"> </w:t>
      </w:r>
      <w:r>
        <w:t xml:space="preserve">primers with efficiency outside 90–110% are listed on the results page and</w:t>
      </w:r>
      <w:r>
        <w:t xml:space="preserve"> </w:t>
      </w:r>
      <w:r>
        <w:t xml:space="preserve">repeated in the analysis record, while no data are removed automatically.</w:t>
      </w:r>
      <w:r>
        <w:t xml:space="preserve"> </w:t>
      </w:r>
      <w:r>
        <w:t xml:space="preserve">MIQE requires these quantities to be reported rather than to satisfy fixed</w:t>
      </w:r>
      <w:r>
        <w:t xml:space="preserve"> </w:t>
      </w:r>
      <w:r>
        <w:t xml:space="preserve">cut-offs</w:t>
      </w:r>
      <w:r>
        <w:t xml:space="preserve"> </w:t>
      </w:r>
      <w:r>
        <w:t xml:space="preserve">(1)</w:t>
      </w:r>
      <w:r>
        <w:t xml:space="preserve">, so the defaults are meant to be adapted to</w:t>
      </w:r>
      <w:r>
        <w:t xml:space="preserve"> </w:t>
      </w:r>
      <w:r>
        <w:t xml:space="preserve">the instrument and assay.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managed with CMake and ships</w:t>
      </w:r>
      <w:r>
        <w:t xml:space="preserve"> </w:t>
      </w:r>
      <w:r>
        <w:t xml:space="preserve">with unit tests; the interface is bilingual and reads CSV/TXT input, and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 workbooks when built with the optional OpenXLSX component</w:t>
      </w:r>
      <w:r>
        <w:t xml:space="preserve"> </w:t>
      </w:r>
      <w:r>
        <w:t xml:space="preserve">(the released binaries read CSV/TXT). It is distributed as a single self-contained</w:t>
      </w:r>
      <w:r>
        <w:t xml:space="preserve"> </w:t>
      </w:r>
      <w:r>
        <w:t xml:space="preserve">executable for Windows and macOS—requiring no R, Python or runtime</w:t>
      </w:r>
      <w:r>
        <w:t xml:space="preserve"> </w:t>
      </w:r>
      <w:r>
        <w:t xml:space="preserve">installation—and the source compiles on Linux under the MIT license. Two R</w:t>
      </w:r>
      <w:r>
        <w:t xml:space="preserve"> </w:t>
      </w:r>
      <w:r>
        <w:t xml:space="preserve">functions are not yet ported—the standard-curve</w:t>
      </w:r>
      <w:r>
        <w:t xml:space="preserve"> </w:t>
      </w:r>
      <w:r>
        <w:t xml:space="preserve">slope–intercept quantification (</w:t>
      </w:r>
      <w:r>
        <w:rPr>
          <w:rStyle w:val="VerbatimChar"/>
        </w:rPr>
        <w:t xml:space="preserve">CalExpCurve</w:t>
      </w:r>
      <w:r>
        <w:t xml:space="preserve">) and the</w:t>
      </w:r>
      <w:r>
        <w:t xml:space="preserve"> </w:t>
      </w:r>
      <w:r>
        <w:t xml:space="preserve">reverse-transcription reagent volume calculation (</w:t>
      </w:r>
      <w:r>
        <w:rPr>
          <w:rStyle w:val="VerbatimChar"/>
        </w:rPr>
        <w:t xml:space="preserve">CalRTable</w:t>
      </w:r>
      <w:r>
        <w:t xml:space="preserve">)—and</w:t>
      </w:r>
      <w:r>
        <w:t xml:space="preserve"> </w:t>
      </w:r>
      <w:r>
        <w:t xml:space="preserve">are planned for a future release.</w:t>
      </w:r>
    </w:p>
    <w:p>
      <w:pPr>
        <w:pStyle w:val="Heading1"/>
      </w:pPr>
      <w:bookmarkStart w:id="22" w:name="_results"/>
      <w:r>
        <w:t xml:space="preserve">Results</w:t>
      </w:r>
      <w:bookmarkEnd w:id="22"/>
    </w:p>
    <w:p>
      <w:pPr>
        <w:pStyle w:val="Heading2"/>
      </w:pPr>
      <w:bookmarkStart w:id="23" w:name="_7c6cc7bd14218d655201c8639ba825da328de79"/>
      <w:r>
        <w:t xml:space="preserve">Typical analysis workflow</w:t>
      </w:r>
      <w:bookmarkEnd w:id="23"/>
    </w:p>
    <w:p>
      <w:pPr>
        <w:pStyle w:val="FirstParagraph"/>
      </w:pPr>
      <w:r>
        <w:t xml:space="preserve">We applied the application to the bundled example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examples/cq.csv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examples/design.csv</w:t>
      </w:r>
      <w:r>
        <w:t xml:space="preserve">): the target gene</w:t>
      </w:r>
      <w:r>
        <w:t xml:space="preserve"> </w:t>
      </w:r>
      <w:r>
        <w:rPr>
          <w:i/>
          <w:iCs/>
        </w:rPr>
        <w:t xml:space="preserve">fos-glo-myc</w:t>
      </w:r>
      <w:r>
        <w:t xml:space="preserve"> </w:t>
      </w:r>
      <w:r>
        <w:t xml:space="preserve">against the reference gene</w:t>
      </w:r>
      <w:r>
        <w:t xml:space="preserve"> </w:t>
      </w:r>
      <w:r>
        <w:rPr>
          <w:i/>
          <w:iCs/>
        </w:rPr>
        <w:t xml:space="preserve">Beta Actin</w:t>
      </w:r>
      <w:r>
        <w:t xml:space="preserve"> </w:t>
      </w:r>
      <w:r>
        <w:t xml:space="preserve">across</w:t>
      </w:r>
      <w:r>
        <w:t xml:space="preserve"> </w:t>
      </w:r>
      <w:r>
        <w:t xml:space="preserve">three treatment groups (0, 0.5, 1) with three biological replicates each.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 and Welch tests against the control,</w:t>
      </w:r>
      <w:r>
        <w:t xml:space="preserve"> </w:t>
      </w:r>
      <w:r>
        <w:t xml:space="preserve">relative expression rose to 1.92 at dose 0.5 and 2.74 at dose 1, both</w:t>
      </w:r>
      <w:r>
        <w:t xml:space="preserve"> </w:t>
      </w:r>
      <w:r>
        <w:t xml:space="preserve">significantly different from the control (</w:t>
      </w:r>
      <m:oMath>
        <m:r>
          <m:t>p</m:t>
        </m:r>
        <m:r>
          <m:rPr>
            <m:sty m:val="p"/>
          </m:rPr>
          <m:t>=</m:t>
        </m:r>
        <m:r>
          <m:t>0.006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</m:t>
        </m:r>
      </m:oMath>
      <w:r>
        <w:t xml:space="preserve">); as</w:t>
      </w:r>
      <w:r>
        <w:t xml:space="preserve"> </w:t>
      </w:r>
      <w:r>
        <w:t xml:space="preserve">defined by Livak and Schmittgen the calibrator is the control group, which is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(here</w:t>
      </w:r>
      <w:r>
        <w:t xml:space="preserve"> </w:t>
      </w:r>
      <m:oMath>
        <m:r>
          <m:t>1.01</m:t>
        </m:r>
        <m:r>
          <m:rPr>
            <m:sty m:val="p"/>
          </m:rPr>
          <m:t>±</m:t>
        </m:r>
        <m:r>
          <m:t>0.21</m:t>
        </m:r>
      </m:oMath>
      <w:r>
        <w:t xml:space="preserve">). These means, standard</w:t>
      </w:r>
      <w:r>
        <w:t xml:space="preserve"> </w:t>
      </w:r>
      <w:r>
        <w:t xml:space="preserve">deviations and</w:t>
      </w:r>
      <w:r>
        <w:t xml:space="preserve"> </w:t>
      </w:r>
      <m:oMath>
        <m:r>
          <m:t>p</m:t>
        </m:r>
      </m:oMath>
      <w:r>
        <w:t xml:space="preserve">-values are reproduced without the application or the R</w:t>
      </w:r>
      <w:r>
        <w:t xml:space="preserve"> </w:t>
      </w:r>
      <w:r>
        <w:t xml:space="preserve">package by</w:t>
      </w:r>
      <w:r>
        <w:t xml:space="preserve"> </w:t>
      </w:r>
      <w:r>
        <w:rPr>
          <w:rStyle w:val="VerbatimChar"/>
        </w:rPr>
        <w:t xml:space="preserve">validation/check_example_stats.R</w:t>
      </w:r>
      <w:r>
        <w:t xml:space="preserve">, and the complete</w:t>
      </w:r>
      <w:r>
        <w:t xml:space="preserve"> </w:t>
      </w:r>
      <w:r>
        <w:t xml:space="preserve">output is shown in Supplementary Figure S1B. On a four-fold dilution series</w:t>
      </w:r>
      <w:r>
        <w:t xml:space="preserve"> </w:t>
      </w:r>
      <w:r>
        <w:t xml:space="preserve">of four genes, the standard-curve module recovered slopes of</w:t>
      </w:r>
      <w:r>
        <w:t xml:space="preserve"> </w:t>
      </w:r>
      <m:oMath>
        <m:r>
          <m:rPr>
            <m:sty m:val="p"/>
          </m:rPr>
          <m:t>−</m:t>
        </m:r>
        <m:r>
          <m:t>2.07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2.24</m:t>
        </m:r>
      </m:oMath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per dilution step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</m:t>
        </m:r>
      </m:oMath>
      <w:r>
        <w:t xml:space="preserve"> </w:t>
      </w:r>
      <w:r>
        <w:t xml:space="preserve">for three of the four</w:t>
      </w:r>
      <w:r>
        <w:t xml:space="preserve"> </w:t>
      </w:r>
      <w:r>
        <w:t xml:space="preserve">primers (efficiencies 0.85–0.95; Supplementary Figure S1A), illustrating the</w:t>
      </w:r>
      <w:r>
        <w:t xml:space="preserve"> </w:t>
      </w:r>
      <w:r>
        <w:t xml:space="preserve">efficiency estimation that, per MIQE guidance, determines which</w:t>
      </w:r>
      <w:r>
        <w:t xml:space="preserve"> </w:t>
      </w:r>
      <w:r>
        <w:t xml:space="preserve">quantification method is appropriate. The quality-control panel flagged the</w:t>
      </w:r>
      <w:r>
        <w:t xml:space="preserve"> </w:t>
      </w:r>
      <w:r>
        <w:t xml:space="preserve">single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well of the weakest primer, and the complete</w:t>
      </w:r>
      <w:r>
        <w:t xml:space="preserve"> </w:t>
      </w:r>
      <w:r>
        <w:t xml:space="preserve">workflow—import, configuration, analysis, export—is performed in the</w:t>
      </w:r>
      <w:r>
        <w:t xml:space="preserve"> </w:t>
      </w:r>
      <w:r>
        <w:t xml:space="preserve">graphical interface without writing code.</w:t>
      </w:r>
    </w:p>
    <w:p>
      <w:pPr>
        <w:pStyle w:val="Heading2"/>
      </w:pPr>
      <w:bookmarkStart w:id="24" w:name="_afb5a68533a22f83eb345253d818e6706cf2dc1"/>
      <w:r>
        <w:t xml:space="preserve">Equivalence to the R package</w:t>
      </w:r>
      <w:bookmarkEnd w:id="24"/>
    </w:p>
    <w:p>
      <w:pPr>
        <w:pStyle w:val="FirstParagraph"/>
      </w:pPr>
      <w:r>
        <w:t xml:space="preserve">We ran the C++ implementation and the original R package</w:t>
      </w:r>
      <w:r>
        <w:t xml:space="preserve"> </w:t>
      </w:r>
      <w:r>
        <w:t xml:space="preserve">(5)</w:t>
      </w:r>
      <w:r>
        <w:t xml:space="preserve"> </w:t>
      </w:r>
      <w:r>
        <w:t xml:space="preserve">on identical inputs for every shared</w:t>
      </w:r>
      <w:r>
        <w:t xml:space="preserve"> </w:t>
      </w:r>
      <w:r>
        <w:t xml:space="preserve">method—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CalExp2ddCt</w:t>
      </w:r>
      <w:r>
        <w:t xml:space="preserve">), the standard curve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CalCurve</w:t>
      </w:r>
      <w:r>
        <w:t xml:space="preserve">) and the efficiency-based RqPCR 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CalExpRqPCR</w:t>
      </w:r>
      <w:r>
        <w:t xml:space="preserve">)—reading the same on-disk files, so any difference</w:t>
      </w:r>
      <w:r>
        <w:t xml:space="preserve"> </w:t>
      </w:r>
      <w:r>
        <w:t xml:space="preserve">reflects the implementations alone (Supplementary Table S1 and Figure S2).</w:t>
      </w:r>
      <w:r>
        <w:t xml:space="preserve"> </w:t>
      </w:r>
      <w:r>
        <w:t xml:space="preserve">For both expression methods, expression values, standard deviations and</w:t>
      </w:r>
      <w:r>
        <w:t xml:space="preserve"> </w:t>
      </w:r>
      <w:r>
        <w:t xml:space="preserve">standard errors matched to within floating-point precision (maximum relative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&lt;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 For the standard curve, slope, intercept,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efficiency agreed to within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relative</w:t>
      </w:r>
      <w:r>
        <w:t xml:space="preserve"> </w:t>
      </w:r>
      <w:r>
        <w:t xml:space="preserve">difference, the residual being attributable to the R package rounding its</w:t>
      </w:r>
      <w:r>
        <w:t xml:space="preserve"> </w:t>
      </w:r>
      <w:r>
        <w:t xml:space="preserve">tabulated output to two to four decimals while the underlying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inputs</w:t>
      </w:r>
      <w:r>
        <w:t xml:space="preserve"> </w:t>
      </w:r>
      <w:r>
        <w:t xml:space="preserve">are identical; every point falls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validation is fully reproducible from the open scripts in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(see Availability). Preparing the port also revealed</w:t>
      </w:r>
      <w:r>
        <w:t xml:space="preserve"> </w:t>
      </w:r>
      <w:r>
        <w:t xml:space="preserve">defects in result aggregation that the R implementation shared—the input of</w:t>
      </w:r>
      <w:r>
        <w:t xml:space="preserve"> </w:t>
      </w:r>
      <w:r>
        <w:t xml:space="preserve">the reference-gene stability measure, replicate handling in the efficiency</w:t>
      </w:r>
      <w:r>
        <w:t xml:space="preserve"> </w:t>
      </w:r>
      <w:r>
        <w:t xml:space="preserve">method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calibrator—as well as one specific to the</w:t>
      </w:r>
      <w:r>
        <w:t xml:space="preserve"> </w:t>
      </w:r>
      <w:r>
        <w:t xml:space="preserve">C++ code (multiple-comparison</w:t>
      </w:r>
      <w:r>
        <w:t xml:space="preserve"> </w:t>
      </w:r>
      <m:oMath>
        <m:r>
          <m:t>p</m:t>
        </m:r>
      </m:oMath>
      <w:r>
        <w:t xml:space="preserve">-values); each was corrected and is covered</w:t>
      </w:r>
      <w:r>
        <w:t xml:space="preserve"> </w:t>
      </w:r>
      <w:r>
        <w:t xml:space="preserve">by a regression test.</w:t>
      </w:r>
    </w:p>
    <w:p>
      <w:pPr>
        <w:pStyle w:val="Heading1"/>
      </w:pPr>
      <w:bookmarkStart w:id="25" w:name="_b6733bbdd45b7f82b75441494c2db8bd79593e1"/>
      <w:r>
        <w:t xml:space="preserve">Availability and implementation</w:t>
      </w:r>
      <w:bookmarkEnd w:id="25"/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a C++17/Qt6 desktop application built</w:t>
      </w:r>
      <w:r>
        <w:t xml:space="preserve"> </w:t>
      </w:r>
      <w:r>
        <w:t xml:space="preserve">with CMake (</w:t>
      </w:r>
      <m:oMath>
        <m:r>
          <m:rPr>
            <m:sty m:val="p"/>
          </m:rPr>
          <m:t>≥</m:t>
        </m:r>
      </m:oMath>
      <w:r>
        <w:t xml:space="preserve"> 3.20); the core algorithm library requires only Qt Core and</w:t>
      </w:r>
      <w:r>
        <w:t xml:space="preserve"> </w:t>
      </w:r>
      <w:r>
        <w:t xml:space="preserve">optionally links Eigen3, GSL and OpenXLSX, while the interface requires</w:t>
      </w:r>
      <w:r>
        <w:t xml:space="preserve"> </w:t>
      </w:r>
      <w:r>
        <w:t xml:space="preserve">Qt WebEngine and WebChannel. It is distributed as a single self-contained</w:t>
      </w:r>
      <w:r>
        <w:t xml:space="preserve"> </w:t>
      </w:r>
      <w:r>
        <w:t xml:space="preserve">executable for Windows and macOS—no R, Python or other runtime, and no</w:t>
      </w:r>
      <w:r>
        <w:t xml:space="preserve"> </w:t>
      </w:r>
      <w:r>
        <w:t xml:space="preserve">registration, are needed to download or run it—and the source compiles on</w:t>
      </w:r>
      <w:r>
        <w:t xml:space="preserve"> </w:t>
      </w:r>
      <w:r>
        <w:t xml:space="preserve">Linux.</w:t>
      </w:r>
    </w:p>
    <w:p>
      <w:pPr>
        <w:pStyle w:val="BodyText"/>
      </w:pPr>
      <w:r>
        <w:t xml:space="preserve">Availability: version 1.2.0 (the version described here; version 1.1.0 is the</w:t>
      </w:r>
      <w:r>
        <w:t xml:space="preserve"> </w:t>
      </w:r>
      <w:r>
        <w:t xml:space="preserve">previous release) is freely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, with pre-built binaries</w:t>
      </w:r>
      <w:r>
        <w:t xml:space="preserve"> </w:t>
      </w:r>
      <w:r>
        <w:t xml:space="preserve">in the repository releases. The repository includes documentation, a</w:t>
      </w:r>
      <w:r>
        <w:t xml:space="preserve"> </w:t>
      </w:r>
      <w:r>
        <w:t xml:space="preserve">unit-test suite, example datasets and a fully reproducible</w:t>
      </w:r>
      <w:r>
        <w:t xml:space="preserve"> </w:t>
      </w:r>
      <w:r>
        <w:t xml:space="preserve">equivalence-validation package (</w:t>
      </w:r>
      <w:r>
        <w:rPr>
          <w:rStyle w:val="VerbatimChar"/>
        </w:rPr>
        <w:t xml:space="preserve">validation/</w:t>
      </w:r>
      <w:r>
        <w:t xml:space="preserve">) comprising the R script,</w:t>
      </w:r>
      <w:r>
        <w:t xml:space="preserve"> </w:t>
      </w:r>
      <w:r>
        <w:t xml:space="preserve">a C++ command-line driver linked against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and a comparison</w:t>
      </w:r>
      <w:r>
        <w:t xml:space="preserve"> </w:t>
      </w:r>
      <w:r>
        <w:t xml:space="preserve">script that regenerates all validation outputs and figures. We will keep the</w:t>
      </w:r>
      <w:r>
        <w:t xml:space="preserve"> </w:t>
      </w:r>
      <w:r>
        <w:t xml:space="preserve">software and its source code available for at least two years after</w:t>
      </w:r>
      <w:r>
        <w:t xml:space="preserve"> </w:t>
      </w:r>
      <w:r>
        <w:t xml:space="preserve">publication. Supplementary Figures S1–S2 and Supplementary Table S1 are</w:t>
      </w:r>
      <w:r>
        <w:t xml:space="preserve"> </w:t>
      </w:r>
      <w:r>
        <w:t xml:space="preserve">available online only.</w:t>
      </w:r>
    </w:p>
    <w:p>
      <w:pPr>
        <w:pStyle w:val="Heading1"/>
      </w:pPr>
      <w:bookmarkStart w:id="26" w:name="_b8356044e1855f49faa1ecb5e0ecc373fd3b25d"/>
      <w:r>
        <w:t xml:space="preserve">Authors’ contributions</w:t>
      </w:r>
      <w:bookmarkEnd w:id="26"/>
    </w:p>
    <w:p>
      <w:pPr>
        <w:pStyle w:val="FirstParagraph"/>
      </w:pPr>
      <w:r>
        <w:t xml:space="preserve">XL and HH designed this study and performed the analysis. XL wrote the</w:t>
      </w:r>
      <w:r>
        <w:t xml:space="preserve"> </w:t>
      </w:r>
      <w:r>
        <w:t xml:space="preserve">manuscript. Both authors read and approved the final manuscript.</w:t>
      </w:r>
    </w:p>
    <w:p>
      <w:pPr>
        <w:pStyle w:val="Heading1"/>
      </w:pPr>
      <w:bookmarkStart w:id="27" w:name="_acknowledgements"/>
      <w:r>
        <w:t xml:space="preserve">Acknowledgements</w:t>
      </w:r>
      <w:bookmarkEnd w:id="27"/>
    </w:p>
    <w:p>
      <w:pPr>
        <w:pStyle w:val="FirstParagraph"/>
      </w:pPr>
      <w:r>
        <w:t xml:space="preserve">The authors thank the developers of the R packages and libraries on which</w:t>
      </w:r>
      <w:r>
        <w:t xml:space="preserve"> </w:t>
      </w:r>
      <w:r>
        <w:t xml:space="preserve">this work builds, and the users who provided feedback during development.</w:t>
      </w:r>
    </w:p>
    <w:p>
      <w:pPr>
        <w:pStyle w:val="Heading1"/>
      </w:pPr>
      <w:bookmarkStart w:id="28" w:name="_funding"/>
      <w:r>
        <w:t xml:space="preserve">Funding</w:t>
      </w:r>
      <w:bookmarkEnd w:id="28"/>
    </w:p>
    <w:p>
      <w:pPr>
        <w:pStyle w:val="FirstParagraph"/>
      </w:pPr>
      <w:r>
        <w:t xml:space="preserve">This work was supported by the National Key R&amp;D Program of China</w:t>
      </w:r>
      <w:r>
        <w:t xml:space="preserve"> </w:t>
      </w:r>
      <w:r>
        <w:t xml:space="preserve">(2021YFD1000200), the National Natural Science Foundation of China</w:t>
      </w:r>
      <w:r>
        <w:t xml:space="preserve"> </w:t>
      </w:r>
      <w:r>
        <w:t xml:space="preserve">(31801792, 31960554), and the Fok Ying Tung Education Foundation.</w:t>
      </w:r>
    </w:p>
    <w:p>
      <w:pPr>
        <w:pStyle w:val="Heading1"/>
      </w:pPr>
      <w:bookmarkStart w:id="29" w:name="_48d2f0e70be279cda6cc913f23aa2249fd7749d"/>
      <w:r>
        <w:t xml:space="preserve">Conflict of interest</w:t>
      </w:r>
      <w:bookmarkEnd w:id="29"/>
    </w:p>
    <w:p>
      <w:pPr>
        <w:pStyle w:val="FirstParagraph"/>
      </w:pPr>
      <w:r>
        <w:t xml:space="preserve">The authors declare no competing interests.</w:t>
      </w:r>
    </w:p>
    <w:p>
      <w:pPr>
        <w:pStyle w:val="Heading1"/>
      </w:pPr>
      <w:bookmarkStart w:id="30" w:name="_d6dc127f91df9bcc46c1702cd683a760cc63be4"/>
      <w:r>
        <w:t xml:space="preserve">Use of AI-assisted tools</w:t>
      </w:r>
      <w:bookmarkEnd w:id="30"/>
    </w:p>
    <w:p>
      <w:pPr>
        <w:pStyle w:val="FirstParagraph"/>
      </w:pPr>
      <w:r>
        <w:t xml:space="preserve">An AI coding assistant (OpenAI Codex) was used during development for code</w:t>
      </w:r>
      <w:r>
        <w:t xml:space="preserve"> </w:t>
      </w:r>
      <w:r>
        <w:t xml:space="preserve">refactoring, generating unit tests and reviewing the manuscript language. All</w:t>
      </w:r>
      <w:r>
        <w:t xml:space="preserve"> </w:t>
      </w:r>
      <w:r>
        <w:t xml:space="preserve">analyses, numerical results and conclusions were reviewed and verified by the</w:t>
      </w:r>
      <w:r>
        <w:t xml:space="preserve"> </w:t>
      </w:r>
      <w:r>
        <w:t xml:space="preserve">authors, who take responsibility for the content of the article. The same</w:t>
      </w:r>
      <w:r>
        <w:t xml:space="preserve"> </w:t>
      </w:r>
      <w:r>
        <w:t xml:space="preserve">assistant-assisted changes are covered by the regression tests and the</w:t>
      </w:r>
      <w:r>
        <w:t xml:space="preserve"> </w:t>
      </w:r>
      <w:r>
        <w:t xml:space="preserve">equivalence-validation package described above.</w:t>
      </w:r>
    </w:p>
    <w:bookmarkStart w:id="65" w:name="_refs"/>
    <w:bookmarkStart w:id="32" w:name="_218f95b65ba17029f8e987bbdaf95794b5c337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Bustin SA, Benes V, Garson JA, Hellemans J, Huggett J, Kubista M, et al.</w:t>
      </w:r>
      <w:r>
        <w:t xml:space="preserve"> </w:t>
      </w:r>
      <w:r>
        <w:t xml:space="preserve">The</w:t>
      </w:r>
      <w:r>
        <w:t xml:space="preserve"> </w:t>
      </w:r>
      <w:r>
        <w:t xml:space="preserve">MIQE</w:t>
      </w:r>
      <w:r>
        <w:t xml:space="preserve"> </w:t>
      </w:r>
      <w:r>
        <w:t xml:space="preserve">guidelines: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Clinical Chemistry. 2009;55(4):611–22. doi:</w:t>
      </w:r>
      <w:hyperlink r:id="rId31">
        <w:r>
          <w:rPr>
            <w:rStyle w:val="Hyperlink"/>
          </w:rPr>
          <w:t xml:space="preserve">10.1373/clinchem.2008.112797</w:t>
        </w:r>
      </w:hyperlink>
    </w:p>
    <w:bookmarkEnd w:id="32"/>
    <w:bookmarkStart w:id="34" w:name="_04c112a7af65b6f682004d20ac7f389b376eb3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Bustin SA, Beaulieu JF, Huggett J, Jaggi R, Kibenge FSB, Olsvik PA, et al.</w:t>
      </w:r>
      <w:r>
        <w:t xml:space="preserve"> </w:t>
      </w:r>
      <w:r>
        <w:t xml:space="preserve">MIQE</w:t>
      </w:r>
      <w:r>
        <w:t xml:space="preserve"> </w:t>
      </w:r>
      <w:r>
        <w:t xml:space="preserve">pr</w:t>
      </w:r>
      <w:r>
        <w:t xml:space="preserve">é</w:t>
      </w:r>
      <w:r>
        <w:t xml:space="preserve">cis: Practical implementation of minimum standard guidelines for fluorescence-based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BMC Molecular Biology. 2010;11:74. doi:</w:t>
      </w:r>
      <w:hyperlink r:id="rId33">
        <w:r>
          <w:rPr>
            <w:rStyle w:val="Hyperlink"/>
          </w:rPr>
          <w:t xml:space="preserve">10.1186/1471-2199-11-74</w:t>
        </w:r>
      </w:hyperlink>
    </w:p>
    <w:bookmarkEnd w:id="34"/>
    <w:bookmarkStart w:id="36" w:name="_149cfa045426482ff6b11201847bc0be557ed3b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Livak KJ, Schmittgen TD. Analysis of relative gene expression data using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and 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method. Methods. 2001;25(4):402–8. doi:</w:t>
      </w:r>
      <w:hyperlink r:id="rId35">
        <w:r>
          <w:rPr>
            <w:rStyle w:val="Hyperlink"/>
          </w:rPr>
          <w:t xml:space="preserve">10.1006/meth.2001.1262</w:t>
        </w:r>
      </w:hyperlink>
    </w:p>
    <w:bookmarkEnd w:id="36"/>
    <w:bookmarkStart w:id="38" w:name="_b33bc9451bed6fc6e4187ca26bfe4d672f561b2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Pfaffl MW. A new mathematical model for relative quantification in real-time</w:t>
      </w:r>
      <w:r>
        <w:t xml:space="preserve"> </w:t>
      </w:r>
      <w:r>
        <w:t xml:space="preserve">RT-PCR</w:t>
      </w:r>
      <w:r>
        <w:t xml:space="preserve">. Nucleic Acids Research. 2001;29(9):e45. doi:</w:t>
      </w:r>
      <w:hyperlink r:id="rId37">
        <w:r>
          <w:rPr>
            <w:rStyle w:val="Hyperlink"/>
          </w:rPr>
          <w:t xml:space="preserve">10.1093/nar/29.9.e45</w:t>
        </w:r>
      </w:hyperlink>
    </w:p>
    <w:bookmarkEnd w:id="38"/>
    <w:bookmarkStart w:id="40" w:name="_7546802b984e0d4f908b64949e9da88d9c75eff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Li X, Wang Y, Li J, Mei X, Liu Y, Huang H.</w:t>
      </w:r>
      <w:r>
        <w:t xml:space="preserve"> </w:t>
      </w:r>
      <w:r>
        <w:t xml:space="preserve">qPCRtools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</w:t>
      </w:r>
      <w:r>
        <w:t xml:space="preserve"> </w:t>
      </w:r>
      <w:r>
        <w:t xml:space="preserve">qPCR</w:t>
      </w:r>
      <w:r>
        <w:t xml:space="preserve"> </w:t>
      </w:r>
      <w:r>
        <w:t xml:space="preserve">data processing and visualization. Frontiers in Genetics. 2022;13:1002704. doi:</w:t>
      </w:r>
      <w:hyperlink r:id="rId39">
        <w:r>
          <w:rPr>
            <w:rStyle w:val="Hyperlink"/>
          </w:rPr>
          <w:t xml:space="preserve">10.3389/fgene.2022.1002704</w:t>
        </w:r>
      </w:hyperlink>
    </w:p>
    <w:bookmarkEnd w:id="40"/>
    <w:bookmarkStart w:id="42" w:name="_8620bda91d0e3c73c09afb06049bad84f667f5f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Ahmed M, Kim D-R.</w:t>
      </w:r>
      <w:r>
        <w:t xml:space="preserve"> </w:t>
      </w:r>
      <w:r>
        <w:t xml:space="preserve">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quality assessment, analysis and testing of</w:t>
      </w:r>
      <w:r>
        <w:t xml:space="preserve"> </w:t>
      </w:r>
      <w:r>
        <w:t xml:space="preserve">qPCR</w:t>
      </w:r>
      <w:r>
        <w:t xml:space="preserve"> </w:t>
      </w:r>
      <w:r>
        <w:t xml:space="preserve">data. PeerJ. 2018;6:e4473. doi:</w:t>
      </w:r>
      <w:hyperlink r:id="rId41">
        <w:r>
          <w:rPr>
            <w:rStyle w:val="Hyperlink"/>
          </w:rPr>
          <w:t xml:space="preserve">10.7717/peerj.4473</w:t>
        </w:r>
      </w:hyperlink>
    </w:p>
    <w:bookmarkEnd w:id="42"/>
    <w:bookmarkStart w:id="44" w:name="_b67fd09765f31fcc899cc75e442d4d9dbb15202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Pfaffl MW, Horgan GW, Dempfle L. Relative expression software tool (</w:t>
      </w:r>
      <w:r>
        <w:t xml:space="preserve">REST</w:t>
      </w:r>
      <w:r>
        <w:t xml:space="preserve">) for group-wise comparison and statistical analysis of relative expression results in real-time</w:t>
      </w:r>
      <w:r>
        <w:t xml:space="preserve"> </w:t>
      </w:r>
      <w:r>
        <w:t xml:space="preserve">PCR</w:t>
      </w:r>
      <w:r>
        <w:t xml:space="preserve">. Nucleic Acids Research. 2002;30(9):e36. doi:</w:t>
      </w:r>
      <w:hyperlink r:id="rId43">
        <w:r>
          <w:rPr>
            <w:rStyle w:val="Hyperlink"/>
          </w:rPr>
          <w:t xml:space="preserve">10.1093/nar/30.9.e36</w:t>
        </w:r>
      </w:hyperlink>
    </w:p>
    <w:bookmarkEnd w:id="44"/>
    <w:bookmarkStart w:id="46" w:name="_1caa0388a8a35b84f7b4a3e61f405944fe78ae0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Ramakers C, Ruijter JM, Deprez RHL, Moorman AFM. Assumption-free analysis of quantitative real-time polymerase chain reaction (</w:t>
      </w:r>
      <w:r>
        <w:t xml:space="preserve">PCR</w:t>
      </w:r>
      <w:r>
        <w:t xml:space="preserve">) data. Neuroscience Letters. 2003;339(1):62–6. doi:</w:t>
      </w:r>
      <w:hyperlink r:id="rId45">
        <w:r>
          <w:rPr>
            <w:rStyle w:val="Hyperlink"/>
          </w:rPr>
          <w:t xml:space="preserve">10.1016/S0304-3940(02)01423-4</w:t>
        </w:r>
      </w:hyperlink>
    </w:p>
    <w:bookmarkEnd w:id="46"/>
    <w:bookmarkStart w:id="48" w:name="_8355b2e895158c73d0ecb0abf1932dd31312b1a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Ruijter JM, Ramakers C, Hoogaars WMH, Karlen Y, Bakker O, Hoff MJB van den, et al. Amplification efficiency: Linking baseline and bias in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Nucleic Acids Research. 2009;37(6):e45. doi:</w:t>
      </w:r>
      <w:hyperlink r:id="rId47">
        <w:r>
          <w:rPr>
            <w:rStyle w:val="Hyperlink"/>
          </w:rPr>
          <w:t xml:space="preserve">10.1093/nar/gkp045</w:t>
        </w:r>
      </w:hyperlink>
    </w:p>
    <w:bookmarkEnd w:id="48"/>
    <w:bookmarkStart w:id="50" w:name="_00804f4081d8c9f9701b4913328c2cf714c62f6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Hellemans J, Mortier G, De Paepe A, Speleman F, Vandesompele J.</w:t>
      </w:r>
      <w:r>
        <w:t xml:space="preserve"> </w:t>
      </w:r>
      <w:r>
        <w:t xml:space="preserve">qBase</w:t>
      </w:r>
      <w:r>
        <w:t xml:space="preserve"> </w:t>
      </w:r>
      <w:r>
        <w:t xml:space="preserve">relative quantification framework and software for management and automated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Genome Biology. 2007;8(2):R19. doi:</w:t>
      </w:r>
      <w:hyperlink r:id="rId49">
        <w:r>
          <w:rPr>
            <w:rStyle w:val="Hyperlink"/>
          </w:rPr>
          <w:t xml:space="preserve">10.1186/gb-2007-8-2-r19</w:t>
        </w:r>
      </w:hyperlink>
    </w:p>
    <w:bookmarkEnd w:id="50"/>
    <w:bookmarkStart w:id="52" w:name="_fd0481c33d70e5c91909ac7d868cf575691620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Vandesompele J, De Preter K, Pattyn F, Poppe B, Van Roy N, De Paepe A, et al. Accurate normalization of real-time quantitative</w:t>
      </w:r>
      <w:r>
        <w:t xml:space="preserve"> </w:t>
      </w:r>
      <w:r>
        <w:t xml:space="preserve">RT-PCR</w:t>
      </w:r>
      <w:r>
        <w:t xml:space="preserve"> </w:t>
      </w:r>
      <w:r>
        <w:t xml:space="preserve">data by geometric averaging of multiple internal control genes. Genome Biology. 2002;3(7):research0034. doi:</w:t>
      </w:r>
      <w:hyperlink r:id="rId51">
        <w:r>
          <w:rPr>
            <w:rStyle w:val="Hyperlink"/>
          </w:rPr>
          <w:t xml:space="preserve">10.1186/gb-2002-3-7-research0034</w:t>
        </w:r>
      </w:hyperlink>
    </w:p>
    <w:bookmarkEnd w:id="52"/>
    <w:bookmarkStart w:id="54" w:name="_edc260bb80258b9aad72d4c0a01d0e1e65a9493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Rancurel C, Van Tran T, Elie C, Hilliou F.</w:t>
      </w:r>
      <w:r>
        <w:t xml:space="preserve"> </w:t>
      </w:r>
      <w:r>
        <w:t xml:space="preserve">SATQPCR</w:t>
      </w:r>
      <w:r>
        <w:t xml:space="preserve">: Website for statistical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Molecular and Cellular Probes. 2019;46:101418. doi:</w:t>
      </w:r>
      <w:hyperlink r:id="rId53">
        <w:r>
          <w:rPr>
            <w:rStyle w:val="Hyperlink"/>
          </w:rPr>
          <w:t xml:space="preserve">10.1016/j.mcp.2019.07.001</w:t>
        </w:r>
      </w:hyperlink>
    </w:p>
    <w:bookmarkEnd w:id="54"/>
    <w:bookmarkStart w:id="56" w:name="_bc24874a811a3254baec355665c27420d9a7b9b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Ballester M, Cordón R, Folch JM.</w:t>
      </w:r>
      <w:r>
        <w:t xml:space="preserve"> </w:t>
      </w:r>
      <w:r>
        <w:t xml:space="preserve">DAG</w:t>
      </w:r>
      <w:r>
        <w:t xml:space="preserve"> </w:t>
      </w:r>
      <w:r>
        <w:t xml:space="preserve">Expression</w:t>
      </w:r>
      <w:r>
        <w:t xml:space="preserve">: High-throughput gene expression analysis of real-time</w:t>
      </w:r>
      <w:r>
        <w:t xml:space="preserve"> </w:t>
      </w:r>
      <w:r>
        <w:t xml:space="preserve">PCR</w:t>
      </w:r>
      <w:r>
        <w:t xml:space="preserve"> </w:t>
      </w:r>
      <w:r>
        <w:t xml:space="preserve">data using standard curves for relative quantification. PLoS ONE. 2013;8(11):e80385. doi:</w:t>
      </w:r>
      <w:hyperlink r:id="rId55">
        <w:r>
          <w:rPr>
            <w:rStyle w:val="Hyperlink"/>
          </w:rPr>
          <w:t xml:space="preserve">10.1371/journal.pone.0080385</w:t>
        </w:r>
      </w:hyperlink>
    </w:p>
    <w:bookmarkEnd w:id="56"/>
    <w:bookmarkStart w:id="58" w:name="_e07ad5c6ba64608802c4154d273ea707533576c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Maussion G, Thomas RA, Demirova I, Gu G, Cai E, Chen CX-Q, et al.</w:t>
      </w:r>
      <w:r>
        <w:t xml:space="preserve"> </w:t>
      </w:r>
      <w:r>
        <w:t xml:space="preserve">Auto-qPCR</w:t>
      </w:r>
      <w:r>
        <w:t xml:space="preserve">; a</w:t>
      </w:r>
      <w:r>
        <w:t xml:space="preserve"> </w:t>
      </w:r>
      <w:r>
        <w:t xml:space="preserve">Python</w:t>
      </w:r>
      <w:r>
        <w:t xml:space="preserve">-based web app for automated and reproducible analysis of</w:t>
      </w:r>
      <w:r>
        <w:t xml:space="preserve"> </w:t>
      </w:r>
      <w:r>
        <w:t xml:space="preserve">qPCR</w:t>
      </w:r>
      <w:r>
        <w:t xml:space="preserve"> </w:t>
      </w:r>
      <w:r>
        <w:t xml:space="preserve">data. Scientific Reports. 2021;11:21293. doi:</w:t>
      </w:r>
      <w:hyperlink r:id="rId57">
        <w:r>
          <w:rPr>
            <w:rStyle w:val="Hyperlink"/>
          </w:rPr>
          <w:t xml:space="preserve">10.1038/s41598-021-99727-6</w:t>
        </w:r>
      </w:hyperlink>
    </w:p>
    <w:bookmarkEnd w:id="58"/>
    <w:bookmarkStart w:id="60" w:name="_f3966a53b378c0811a0329d01885420bbbbc92e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Pabinger S, Rödiger S, Kriegner A, Vierlinger K, Weinhäusel A. A survey of tools for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(</w:t>
      </w:r>
      <w:r>
        <w:t xml:space="preserve">qPCR</w:t>
      </w:r>
      <w:r>
        <w:t xml:space="preserve">) data. Biomolecular Detection and Quantification. 2014;1:23–33. doi:</w:t>
      </w:r>
      <w:hyperlink r:id="rId59">
        <w:r>
          <w:rPr>
            <w:rStyle w:val="Hyperlink"/>
          </w:rPr>
          <w:t xml:space="preserve">10.1016/j.bdq.2014.08.002</w:t>
        </w:r>
      </w:hyperlink>
    </w:p>
    <w:bookmarkEnd w:id="60"/>
    <w:bookmarkStart w:id="62" w:name="_ff60a9b08c80ac3fb85a4e8c9aaa34f06904adb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The Qt Company.</w:t>
      </w:r>
      <w:r>
        <w:t xml:space="preserve"> </w:t>
      </w:r>
      <w:r>
        <w:t xml:space="preserve">Qt</w:t>
      </w:r>
      <w:r>
        <w:t xml:space="preserve"> </w:t>
      </w:r>
      <w:r>
        <w:t xml:space="preserve">Cross-Platform</w:t>
      </w:r>
      <w:r>
        <w:t xml:space="preserve"> </w:t>
      </w: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Framework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https://www.qt.io/</w:t>
        </w:r>
      </w:hyperlink>
      <w:r>
        <w:t xml:space="preserve">; 2024.</w:t>
      </w:r>
    </w:p>
    <w:bookmarkEnd w:id="62"/>
    <w:bookmarkStart w:id="64" w:name="_fb887e1c0c145b6139ec39b5e62eaf0d9978e58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Apache Software Foundation.</w:t>
      </w:r>
      <w:r>
        <w:t xml:space="preserve"> </w:t>
      </w:r>
      <w:r>
        <w:t xml:space="preserve">Apache ECharts</w:t>
      </w:r>
      <w:r>
        <w:t xml:space="preserve">: A declarative framework for rapid construction of web-based visualization.</w:t>
      </w:r>
      <w:r>
        <w:t xml:space="preserve"> </w:t>
      </w:r>
      <w:hyperlink r:id="rId63">
        <w:r>
          <w:rPr>
            <w:rStyle w:val="Hyperlink"/>
          </w:rPr>
          <w:t xml:space="preserve">https://echarts.apache.org/</w:t>
        </w:r>
      </w:hyperlink>
      <w:r>
        <w:t xml:space="preserve">; 2024.</w:t>
      </w:r>
    </w:p>
    <w:bookmarkEnd w:id="64"/>
    <w:bookmarkEnd w:id="65"/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https://doi.org/10.1006/meth.2001.1262" TargetMode="External"/><Relationship Id="rId45" Type="http://schemas.openxmlformats.org/officeDocument/2006/relationships/hyperlink" Target="https://doi.org/10.1016/S0304-3940(02)01423-4" TargetMode="External"/><Relationship Id="rId59" Type="http://schemas.openxmlformats.org/officeDocument/2006/relationships/hyperlink" Target="https://doi.org/10.1016/j.bdq.2014.08.002" TargetMode="External"/><Relationship Id="rId53" Type="http://schemas.openxmlformats.org/officeDocument/2006/relationships/hyperlink" Target="https://doi.org/10.1016/j.mcp.2019.07.001" TargetMode="External"/><Relationship Id="rId57" Type="http://schemas.openxmlformats.org/officeDocument/2006/relationships/hyperlink" Target="https://doi.org/10.1038/s41598-021-99727-6" TargetMode="External"/><Relationship Id="rId37" Type="http://schemas.openxmlformats.org/officeDocument/2006/relationships/hyperlink" Target="https://doi.org/10.1093/nar/29.9.e45" TargetMode="External"/><Relationship Id="rId43" Type="http://schemas.openxmlformats.org/officeDocument/2006/relationships/hyperlink" Target="https://doi.org/10.1093/nar/30.9.e36" TargetMode="External"/><Relationship Id="rId47" Type="http://schemas.openxmlformats.org/officeDocument/2006/relationships/hyperlink" Target="https://doi.org/10.1093/nar/gkp045" TargetMode="External"/><Relationship Id="rId33" Type="http://schemas.openxmlformats.org/officeDocument/2006/relationships/hyperlink" Target="https://doi.org/10.1186/1471-2199-11-74" TargetMode="External"/><Relationship Id="rId51" Type="http://schemas.openxmlformats.org/officeDocument/2006/relationships/hyperlink" Target="https://doi.org/10.1186/gb-2002-3-7-research0034" TargetMode="External"/><Relationship Id="rId49" Type="http://schemas.openxmlformats.org/officeDocument/2006/relationships/hyperlink" Target="https://doi.org/10.1186/gb-2007-8-2-r19" TargetMode="External"/><Relationship Id="rId55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39" Type="http://schemas.openxmlformats.org/officeDocument/2006/relationships/hyperlink" Target="https://doi.org/10.3389/fgene.2022.1002704" TargetMode="External"/><Relationship Id="rId41" Type="http://schemas.openxmlformats.org/officeDocument/2006/relationships/hyperlink" Target="https://doi.org/10.7717/peerj.4473" TargetMode="External"/><Relationship Id="rId63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61" Type="http://schemas.openxmlformats.org/officeDocument/2006/relationships/hyperlink" Target="https://www.qt.io/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doi.org/10.1006/meth.2001.1262" TargetMode="External"/><Relationship Id="rId45" Type="http://schemas.openxmlformats.org/officeDocument/2006/relationships/hyperlink" Target="https://doi.org/10.1016/S0304-3940(02)01423-4" TargetMode="External"/><Relationship Id="rId59" Type="http://schemas.openxmlformats.org/officeDocument/2006/relationships/hyperlink" Target="https://doi.org/10.1016/j.bdq.2014.08.002" TargetMode="External"/><Relationship Id="rId53" Type="http://schemas.openxmlformats.org/officeDocument/2006/relationships/hyperlink" Target="https://doi.org/10.1016/j.mcp.2019.07.001" TargetMode="External"/><Relationship Id="rId57" Type="http://schemas.openxmlformats.org/officeDocument/2006/relationships/hyperlink" Target="https://doi.org/10.1038/s41598-021-99727-6" TargetMode="External"/><Relationship Id="rId37" Type="http://schemas.openxmlformats.org/officeDocument/2006/relationships/hyperlink" Target="https://doi.org/10.1093/nar/29.9.e45" TargetMode="External"/><Relationship Id="rId43" Type="http://schemas.openxmlformats.org/officeDocument/2006/relationships/hyperlink" Target="https://doi.org/10.1093/nar/30.9.e36" TargetMode="External"/><Relationship Id="rId47" Type="http://schemas.openxmlformats.org/officeDocument/2006/relationships/hyperlink" Target="https://doi.org/10.1093/nar/gkp045" TargetMode="External"/><Relationship Id="rId33" Type="http://schemas.openxmlformats.org/officeDocument/2006/relationships/hyperlink" Target="https://doi.org/10.1186/1471-2199-11-74" TargetMode="External"/><Relationship Id="rId51" Type="http://schemas.openxmlformats.org/officeDocument/2006/relationships/hyperlink" Target="https://doi.org/10.1186/gb-2002-3-7-research0034" TargetMode="External"/><Relationship Id="rId49" Type="http://schemas.openxmlformats.org/officeDocument/2006/relationships/hyperlink" Target="https://doi.org/10.1186/gb-2007-8-2-r19" TargetMode="External"/><Relationship Id="rId55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39" Type="http://schemas.openxmlformats.org/officeDocument/2006/relationships/hyperlink" Target="https://doi.org/10.3389/fgene.2022.1002704" TargetMode="External"/><Relationship Id="rId41" Type="http://schemas.openxmlformats.org/officeDocument/2006/relationships/hyperlink" Target="https://doi.org/10.7717/peerj.4473" TargetMode="External"/><Relationship Id="rId63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61" Type="http://schemas.openxmlformats.org/officeDocument/2006/relationships/hyperlink" Target="https://www.q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C++ desktop application for qPCR data analysis with validated equivalence to its R implementation</dc:title>
  <dc:creator>Xiang Li; Huichuan Huang</dc:creator>
  <cp:keywords/>
  <dcterms:created xsi:type="dcterms:W3CDTF">2026-10-19T05:28:12Z</dcterms:created>
  <dcterms:modified xsi:type="dcterms:W3CDTF">2026-10-19T05:28:12Z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Summary: Quantitative real-time PCR (qPCR) is a standard technique for measuring gene expression, yet turning instrument-exported C_q values into publication-ready results requires several non-trivial steps: estimating amplification efficiency, choosing a quantification method, testing groups statistically, and preparing figures. Established tools for this chain are predominantly programming-based—including our own R package qPCRtools—and remain out of reach for students and wet-lab researchers without programming experience, whereas instrument software, free stand-alone programs and web applications each cover only part of the workflow or tie the analysis to one platform. We present qPCRtools, a cross-platform desktop application written in C++17 with Qt6 that exposes the analytical core of the R package through a point-and-click interface and ships as a single executable requiring no R, Python or other runtime. It implements standard-curve construction and efficiency estimation, the \Delta C_t, \Delta\Delta C_t and efficiency-based (RqPCR) quantification methods, group comparison by Welch t-test, Wilcoxon rank-sum test or one-way ANOVA with Tukey HSD letters, quality-control warnings, in-interface figures, and a plain-text record of the inputs and parameters of each analysis. On identical inputs the C++ implementation agrees with the R package to floating-point precision for every shared method; preparing the port also revealed and corrected several defects in result aggregation, each covered by a regression test.Availability and Implementation: qPCRtools is written in C++17 with Qt6 and built with CMake; the core algorithm library requires only Qt Core and optionally links Eigen3, GSL and OpenXLSX. Version 1.2.0 is distributed as a single self-contained executable for Windows and macOS under the MIT license at https://github.com/lixiang117423/qPCRtools_cpp, with pre-built binaries in the repository releases; no registration is required, and the source compiles on Linux. The software and its source will remain available for at least two years.Contact: lixiang117423@gmail.comSupplementary Information: Supplementary Figures S1–S2 give the full analysis output and the equivalence comparison, and Supplementary Table S1 summarises the equivalence across all shared methods.</vt:lpwstr>
  </property>
  <property fmtid="{D5CDD505-2E9C-101B-9397-08002B2CF9AE}" pid="3" name="bibliography">
    <vt:lpwstr/>
  </property>
  <property fmtid="{D5CDD505-2E9C-101B-9397-08002B2CF9AE}" pid="4" name="csl">
    <vt:lpwstr>/Users/lixiang/Zotero/styles/nlm-citation-sequence.csl</vt:lpwstr>
  </property>
  <property fmtid="{D5CDD505-2E9C-101B-9397-08002B2CF9AE}" pid="5" name="date">
    <vt:lpwstr/>
  </property>
</Properties>
</file>