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0" w:after="160"/>
        <w:jc w:val="center"/>
      </w:pPr>
      <w:r>
        <w:rPr>
          <w:rFonts w:ascii="Arial" w:hAnsi="Arial"/>
          <w:b/>
          <w:sz w:val="30"/>
        </w:rPr>
        <w:t>Supplementary material</w:t>
        <w:br/>
      </w:r>
      <w:r>
        <w:rPr>
          <w:rFonts w:ascii="Arial" w:hAnsi="Arial"/>
          <w:i/>
          <w:sz w:val="23"/>
        </w:rPr>
        <w:t>qPCRtools: a cross-platform C++ desktop application for qPCR data analysis with validated equivalence to its R implementation</w:t>
      </w:r>
    </w:p>
    <w:p>
      <w:pPr>
        <w:pStyle w:val="Author"/>
        <w:spacing w:line="240" w:lineRule="auto" w:after="240"/>
        <w:jc w:val="center"/>
      </w:pPr>
      <w:r>
        <w:rPr>
          <w:rFonts w:ascii="Arial" w:hAnsi="Arial"/>
          <w:sz w:val="22"/>
        </w:rPr>
        <w:t>Xiang Li</w:t>
      </w:r>
      <w:r>
        <w:rPr>
          <w:rFonts w:ascii="Arial" w:hAnsi="Arial"/>
          <w:sz w:val="22"/>
          <w:vertAlign w:val="superscript"/>
        </w:rPr>
        <w:t>1,2,*</w:t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>Huichuan Huang</w:t>
      </w:r>
      <w:r>
        <w:rPr>
          <w:rFonts w:ascii="Arial" w:hAnsi="Arial"/>
          <w:sz w:val="22"/>
          <w:vertAlign w:val="superscript"/>
        </w:rPr>
        <w:t>1,2,*</w:t>
      </w:r>
      <w:r>
        <w:br/>
      </w:r>
      <w:r>
        <w:rPr>
          <w:rFonts w:ascii="Arial" w:hAnsi="Arial"/>
          <w:sz w:val="19"/>
        </w:rPr>
        <w:t>1 State Key Laboratory for Conservation and Utilization of Bio-Resources in Yunnan, Yunnan Agricultural University, Kunming, China</w:t>
      </w:r>
      <w:r>
        <w:br/>
      </w:r>
      <w:r>
        <w:rPr>
          <w:rFonts w:ascii="Arial" w:hAnsi="Arial"/>
          <w:sz w:val="19"/>
        </w:rPr>
        <w:t>2 Key Laboratory for Agro-Biodiversity and Pest Control of Ministry of Education, Yunnan Agricultural University, Kunming, China</w:t>
      </w:r>
      <w:r>
        <w:br/>
      </w:r>
      <w:r>
        <w:rPr>
          <w:rFonts w:ascii="Arial" w:hAnsi="Arial"/>
          <w:sz w:val="19"/>
        </w:rPr>
        <w:t>* Corresponding authors: lixiang117423@gmail.com (X.L.), absklhhc@gmail.com (H.H.)</w:t>
      </w:r>
      <w:r>
        <w:br/>
      </w:r>
      <w:r>
        <w:rPr>
          <w:rFonts w:ascii="Arial" w:hAnsi="Arial"/>
          <w:sz w:val="19"/>
        </w:rPr>
        <w:t>Present address (X.L.): Yazhouwan National Laboratory, Sanya, Hainan, China</w:t>
      </w:r>
    </w:p>
    <w:p>
      <w:pPr>
        <w:pStyle w:val="Heading1"/>
      </w:pPr>
      <w:bookmarkStart w:id="9" w:name="_contents"/>
      <w:r>
        <w:t xml:space="preserve">Contents</w:t>
      </w:r>
      <w:bookmarkEnd w:id="9"/>
    </w:p>
    <w:p>
      <w:pPr>
        <w:pStyle w:val="FirstParagraph"/>
        <w:numPr>
          <w:ilvl w:val="0"/>
          <w:numId w:val="1001"/>
        </w:numPr>
      </w:pPr>
      <w:r>
        <w:t xml:space="preserve">Figure S1 — Analysis output on the bundled example data</w:t>
      </w:r>
      <w:r>
        <w:t xml:space="preserve"> </w:t>
      </w:r>
      <w:r>
        <w:t xml:space="preserve">(standard curves 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expression).</w:t>
      </w:r>
    </w:p>
    <w:p>
      <w:pPr>
        <w:pStyle w:val="FirstParagraph"/>
        <w:numPr>
          <w:ilvl w:val="0"/>
          <w:numId w:val="1001"/>
        </w:numPr>
      </w:pPr>
      <w:r>
        <w:t xml:space="preserve">Figure S2 — Numerical equivalence of the C++ implementation and the</w:t>
      </w:r>
      <w:r>
        <w:t xml:space="preserve"> </w:t>
      </w:r>
      <w:r>
        <w:t xml:space="preserve">R package.</w:t>
      </w:r>
    </w:p>
    <w:p>
      <w:pPr>
        <w:pStyle w:val="FirstParagraph"/>
        <w:numPr>
          <w:ilvl w:val="0"/>
          <w:numId w:val="1001"/>
        </w:numPr>
      </w:pPr>
      <w:r>
        <w:t xml:space="preserve">Table S1 — Equivalence summary across all shared methods.</w:t>
      </w:r>
      <w:r>
        <w:t xml:space="preserve"> </w:t>
      </w:r>
      <w:r>
        <w:t xml:space="preserve">Panel (a): numerical equivalence with the R package.</w:t>
      </w:r>
      <w:r>
        <w:t xml:space="preserve"> </w:t>
      </w:r>
      <w:r>
        <w:t xml:space="preserve">Panel (b): the statistical layer (means, Welch</w:t>
      </w:r>
      <w:r>
        <w:t xml:space="preserve"> </w:t>
      </w:r>
      <m:oMath>
        <m:r>
          <m:t>p</m:t>
        </m:r>
      </m:oMath>
      <w:r>
        <w:t xml:space="preserve">-values, ANOVA and</w:t>
      </w:r>
      <w:r>
        <w:t xml:space="preserve"> </w:t>
      </w:r>
      <w:r>
        <w:t xml:space="preserve">Tukey letters) against an independent base-R reference.</w:t>
      </w:r>
    </w:p>
    <w:p>
      <w:pPr>
        <w:pStyle w:val="Heading1"/>
      </w:pPr>
      <w:bookmarkStart w:id="10" w:name="_73d66e39c23ef82c480f845890760b17cc77385"/>
      <w:r>
        <w:t xml:space="preserve">Analysis output on the bundled example data</w:t>
      </w:r>
      <w:bookmarkEnd w:id="10"/>
    </w:p>
    <w:p>
      <w:pPr>
        <w:pStyle w:val="FirstParagraph"/>
      </w:pPr>
      <w:r>
        <w:t xml:space="preserve">Figure S1 shows the two analyses discussed in the main text, produced from the</w:t>
      </w:r>
      <w:r>
        <w:t xml:space="preserve"> </w:t>
      </w:r>
      <w:r>
        <w:t xml:space="preserve">application’s numerical output by the plotting script shipped in the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code/validation/plot_examples.py</w:t>
      </w:r>
      <w:r>
        <w:t xml:space="preserve">, matplotlib), which</w:t>
      </w:r>
      <w:r>
        <w:t xml:space="preserve"> </w:t>
      </w:r>
      <w:r>
        <w:t xml:space="preserve">gives finer control over the layout than the in-interface figure export. The</w:t>
      </w:r>
      <w:r>
        <w:t xml:space="preserve"> </w:t>
      </w:r>
      <w:r>
        <w:t xml:space="preserve">per-group means, standard deviations and</w:t>
      </w:r>
      <w:r>
        <w:t xml:space="preserve"> </w:t>
      </w:r>
      <m:oMath>
        <m:r>
          <m:t>p</m:t>
        </m:r>
      </m:oMath>
      <w:r>
        <w:t xml:space="preserve">-values were independently</w:t>
      </w:r>
      <w:r>
        <w:t xml:space="preserve"> </w:t>
      </w:r>
      <w:r>
        <w:t xml:space="preserve">reproduced without the application or the R package by</w:t>
      </w:r>
      <w:r>
        <w:t xml:space="preserve"> </w:t>
      </w:r>
      <w:r>
        <w:rPr>
          <w:rStyle w:val="VerbatimChar"/>
        </w:rPr>
        <w:t xml:space="preserve">code/validation/check_example_stats.R</w:t>
      </w:r>
      <w:r>
        <w:t xml:space="preserve">.</w:t>
      </w:r>
    </w:p>
    <w:bookmarkStart w:id="14" w:name="_8c5bc61b19d2a142b6e908fd9582f86ab3af67d"/>
    <w:p>
      <w:pPr>
        <w:pStyle w:val="CaptionedFigure"/>
        <w:jc w:val="center"/>
      </w:pPr>
      <w:r>
        <w:drawing>
          <wp:inline>
            <wp:extent cx="5400000" cy="22950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var/folders/t4/w5lxpw4j3lvfq7bs3f2x_wlr0000gn/T/tmppd96o1rv/fig2_results_v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9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S1. </w:t>
      </w:r>
      <w:r>
        <w:rPr>
          <w:sz w:val="19"/>
        </w:rPr>
        <w:t xml:space="preserve">Analysis output on real data.</w:t>
      </w:r>
      <w:r>
        <w:rPr>
          <w:sz w:val="19"/>
        </w:rPr>
        <w:t xml:space="preserve"> </w:t>
      </w:r>
      <w:r>
        <w:rPr>
          <w:sz w:val="19"/>
        </w:rPr>
        <w:t xml:space="preserve">(A) Standard curves for four genes over a four-fold dilution series, with</w:t>
      </w:r>
      <w:r>
        <w:rPr>
          <w:sz w:val="19"/>
        </w:rPr>
        <w:t xml:space="preserve"> </w:t>
      </w:r>
      <w:r>
        <w:rPr>
          <w:sz w:val="19"/>
        </w:rPr>
        <w:t xml:space="preserve">fitted regressions and</w:t>
      </w:r>
      <w:r>
        <w:rPr>
          <w:sz w:val="19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sz w:val="19"/>
        </w:rPr>
        <w:t xml:space="preserve">. The abscissa is</w:t>
      </w:r>
      <w:r>
        <w:rPr>
          <w:sz w:val="19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concentration</w:t>
      </w:r>
      <w:r>
        <w:rPr>
          <w:sz w:val="19"/>
        </w:rPr>
        <w:t xml:space="preserve"> </w:t>
      </w:r>
      <w:r>
        <w:rPr>
          <w:sz w:val="19"/>
        </w:rPr>
        <w:t xml:space="preserve">(dilution steps), matching the regression, and hollow symbols mark wells</w:t>
      </w:r>
      <w:r>
        <w:rPr>
          <w:sz w:val="19"/>
        </w:rPr>
        <w:t xml:space="preserve"> </w:t>
      </w:r>
      <w:r>
        <w:rPr>
          <w:sz w:val="19"/>
        </w:rPr>
        <w:t xml:space="preserve">outside the calibrated range (4–4096) that are excluded from the fit.</w:t>
      </w:r>
      <w:r>
        <w:rPr>
          <w:sz w:val="19"/>
        </w:rPr>
        <w:t xml:space="preserve"> </w:t>
      </w:r>
      <w:r>
        <w:rPr>
          <w:sz w:val="19"/>
        </w:rPr>
        <w:t xml:space="preserve">(B) Relative expression of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fos-glo-myc</w:t>
      </w:r>
      <w:r>
        <w:rPr>
          <w:sz w:val="19"/>
        </w:rPr>
        <w:t xml:space="preserve"> </w:t>
      </w:r>
      <w:r>
        <w:rPr>
          <w:sz w:val="19"/>
        </w:rPr>
        <w:t xml:space="preserve">across treatment groups</w:t>
      </w:r>
      <w:r>
        <w:rPr>
          <w:sz w:val="19"/>
        </w:rPr>
        <w:t xml:space="preserve"> </w:t>
      </w:r>
      <w:r>
        <w:rPr>
          <w:sz w:val="19"/>
        </w:rP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method, calibrated to the control group), with</w:t>
      </w:r>
      <w:r>
        <w:rPr>
          <w:sz w:val="19"/>
        </w:rPr>
        <w:t xml:space="preserve"> </w:t>
      </w:r>
      <w:r>
        <w:rPr>
          <w:sz w:val="19"/>
        </w:rPr>
        <w:t xml:space="preserve">significance labels. Reproduced from</w:t>
      </w:r>
      <w:r>
        <w:rPr>
          <w:sz w:val="19"/>
        </w:rPr>
        <w:t xml:space="preserve"> </w:t>
      </w:r>
      <w:r>
        <w:rPr>
          <w:rStyle w:val="VerbatimChar"/>
          <w:sz w:val="19"/>
        </w:rPr>
        <w:t xml:space="preserve">figures/fig2_results_v2.pdf</w:t>
      </w:r>
      <w:r>
        <w:rPr>
          <w:sz w:val="19"/>
        </w:rPr>
        <w:t xml:space="preserve">.</w:t>
      </w:r>
    </w:p>
    <w:bookmarkEnd w:id="14"/>
    <w:p>
      <w:pPr>
        <w:pStyle w:val="Heading1"/>
      </w:pPr>
      <w:bookmarkStart w:id="15" w:name="_e41cade5d017a025201cd88a89b90359aff45ff"/>
      <w:r>
        <w:t xml:space="preserve">Numerical equivalence to the R package</w:t>
      </w:r>
      <w:bookmarkEnd w:id="15"/>
    </w:p>
    <w:p>
      <w:pPr>
        <w:pStyle w:val="FirstParagraph"/>
      </w:pPr>
      <w:r>
        <w:t xml:space="preserve">Both implementations were run on identical input files for every shared</w:t>
      </w:r>
      <w:r>
        <w:t xml:space="preserve"> </w:t>
      </w:r>
      <w:r>
        <w:t xml:space="preserve">method—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CalExp2ddCt</w:t>
      </w:r>
      <w:r>
        <w:t xml:space="preserve">), the standard curve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CalCurve</w:t>
      </w:r>
      <w:r>
        <w:t xml:space="preserve">) and the efficiency-based RqPCR 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CalExpRqPCR</w:t>
      </w:r>
      <w:r>
        <w:t xml:space="preserve">)—and every resulting quantity was compared pairwise</w:t>
      </w:r>
      <w:r>
        <w:t xml:space="preserve"> </w:t>
      </w:r>
      <w:r>
        <w:t xml:space="preserve">(Figure S2, Table S1).</w:t>
      </w:r>
    </w:p>
    <w:bookmarkStart w:id="19" w:name="_fd55569c83939c5939c2725da0491cb8711551b"/>
    <w:p>
      <w:pPr>
        <w:pStyle w:val="CaptionedFigure"/>
        <w:jc w:val="center"/>
      </w:pPr>
      <w:r>
        <w:drawing>
          <wp:inline>
            <wp:extent cx="5400000" cy="540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/var/folders/t4/w5lxpw4j3lvfq7bs3f2x_wlr0000gn/T/tmppd96o1rv/fig3_equivalen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S2. </w:t>
      </w:r>
      <w:r>
        <w:rPr>
          <w:sz w:val="19"/>
        </w:rPr>
        <w:t xml:space="preserve">Numerical equivalence of the C++ implementation</w:t>
      </w:r>
      <w:r>
        <w:rPr>
          <w:sz w:val="19"/>
        </w:rPr>
        <w:t xml:space="preserve"> </w:t>
      </w:r>
      <w:r>
        <w:rPr>
          <w:sz w:val="19"/>
        </w:rPr>
        <w:t xml:space="preserve">and the R package. Each C++ result is plotted against the corresponding R</w:t>
      </w:r>
      <w:r>
        <w:rPr>
          <w:sz w:val="19"/>
        </w:rPr>
        <w:t xml:space="preserve"> </w:t>
      </w:r>
      <w:r>
        <w:rPr>
          <w:sz w:val="19"/>
        </w:rPr>
        <w:t xml:space="preserve">result across all shared methods; all points fall on the line</w:t>
      </w:r>
      <w:r>
        <w:rPr>
          <w:sz w:val="19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sz w:val="19"/>
        </w:rPr>
        <w:t xml:space="preserve">.</w:t>
      </w:r>
    </w:p>
    <w:bookmarkEnd w:id="19"/>
    <w:bookmarkStart w:id="20" w:name="_3a1daa7e4df54d949bc1226580aa5c2d2e163b0"/>
    <w:p>
      <w:pPr>
        <w:pStyle w:val="TableCaption"/>
        <w:jc w:val="both"/>
      </w:pPr>
      <w:r>
        <w:rPr>
          <w:rFonts w:ascii="Arial" w:hAnsi="Arial"/>
          <w:b/>
          <w:sz w:val="19"/>
        </w:rPr>
        <w:t xml:space="preserve">Table S1. </w:t>
      </w:r>
      <w:r>
        <w:rPr>
          <w:sz w:val="19"/>
        </w:rPr>
        <w:t xml:space="preserve">Equivalence of the application (C++) with the</w:t>
      </w:r>
      <w:r>
        <w:rPr>
          <w:sz w:val="19"/>
        </w:rPr>
        <w:t xml:space="preserve"> </w:t>
      </w:r>
      <w:r>
        <w:rPr>
          <w:sz w:val="19"/>
        </w:rPr>
        <w:t xml:space="preserve">reference implementations. (a) Numerical equivalence with the R package on</w:t>
      </w:r>
      <w:r>
        <w:rPr>
          <w:sz w:val="19"/>
        </w:rPr>
        <w:t xml:space="preserve"> </w:t>
      </w:r>
      <w:r>
        <w:rPr>
          <w:sz w:val="19"/>
        </w:rPr>
        <w:t xml:space="preserve">identical inputs; relative difference is</w:t>
      </w:r>
      <w:r>
        <w:rPr>
          <w:sz w:val="19"/>
        </w:rP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</w:rPr>
        <w:t xml:space="preserve">(b) Statistical layer on the bundled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example, recomputed</w:t>
      </w:r>
      <w:r>
        <w:rPr>
          <w:sz w:val="19"/>
        </w:rPr>
        <w:t xml:space="preserve"> </w:t>
      </w:r>
      <w:r>
        <w:rPr>
          <w:sz w:val="19"/>
        </w:rPr>
        <w:t xml:space="preserve">independently in base R without installing any package</w:t>
      </w:r>
      <w:r>
        <w:rPr>
          <w:sz w:val="19"/>
        </w:rPr>
        <w:t xml:space="preserve"> </w:t>
      </w:r>
      <w:r>
        <w:rPr>
          <w:sz w:val="19"/>
        </w:rPr>
        <w:t xml:space="preserve">(</w:t>
      </w:r>
      <w:r>
        <w:rPr>
          <w:rStyle w:val="VerbatimChar"/>
          <w:sz w:val="19"/>
        </w:rPr>
        <w:t xml:space="preserve">code/validation/verify_stats.R</w:t>
      </w:r>
      <w:r>
        <w:rPr>
          <w:sz w:val="19"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quivalence of the application (C++) with the reference implementations. (a) Numerical equivalence with the R package on identical inputs; relative difference is |R - \mathrm{C{+}{+}}|/|R|. (b) Statistical layer on the bundled \Delta\Delta C_t example, recomputed independently in base R without installing any package (code/validation/verify_stats.R)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  <w:tcBorders>
              <w:top w:val="single" w:sz="12" w:color="000000"/>
              <w:bottom w:val="single" w:sz="8" w:color="000000"/>
              <w:top w:val="single" w:sz="12" w:color="000000"/>
              <w:bottom w:val="single" w:sz="8" w:color="000000"/>
              <w:top w:val="single" w:sz="12" w:color="000000"/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(a) numerical equivalence to the R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quantities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 rel. diff.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expression, SD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slope, intercept,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efficiency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expression, 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(b) statistical layer (bundled example,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(C++)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base-R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SD, group 0.0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1.0145</m:t>
              </m:r>
              <m:r>
                <m:rPr>
                  <m:sty m:val="p"/>
                </m:rPr>
                <m:t>±</m:t>
              </m:r>
              <m:r>
                <m:t>0.2098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1.0145</m:t>
              </m:r>
              <m:r>
                <m:rPr>
                  <m:sty m:val="p"/>
                </m:rPr>
                <m:t>±</m:t>
              </m:r>
              <m:r>
                <m:t>0.2098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SD, group 0.5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1.9169</m:t>
              </m:r>
              <m:r>
                <m:rPr>
                  <m:sty m:val="p"/>
                </m:rPr>
                <m:t>±</m:t>
              </m:r>
              <m:r>
                <m:t>0.2060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1.9169</m:t>
              </m:r>
              <m:r>
                <m:rPr>
                  <m:sty m:val="p"/>
                </m:rPr>
                <m:t>±</m:t>
              </m:r>
              <m:r>
                <m:t>0.2060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SD, group 1.0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2.7403</m:t>
              </m:r>
              <m:r>
                <m:rPr>
                  <m:sty m:val="p"/>
                </m:rPr>
                <m:t>±</m:t>
              </m:r>
              <m:r>
                <m:t>0.5580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2.7403</m:t>
              </m:r>
              <m:r>
                <m:rPr>
                  <m:sty m:val="p"/>
                </m:rPr>
                <m:t>±</m:t>
              </m:r>
              <m:r>
                <m:t>0.5580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0.006027 / 0.022191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0.006027 / 0.022191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ANOVA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(all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0.0034471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0.0034471</w:t>
            </w:r>
          </w:p>
        </w:tc>
      </w:tr>
      <w:tr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left"/>
            </w:pPr>
            <w:r>
              <w:t xml:space="preserve">Tukey letters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left"/>
            </w:pPr>
            <w:r>
              <w:t xml:space="preserve">b / ab / a</w:t>
            </w:r>
          </w:p>
        </w:tc>
        <w:tc>
          <w:tcPr>
            <w:tcBorders>
              <w:bottom w:val="single" w:sz="12" w:color="000000"/>
            </w:tcBorders>
          </w:tcPr>
          <w:p>
            <w:pPr>
              <w:pStyle w:val="Compact"/>
              <w:jc w:val="left"/>
            </w:pPr>
            <w:r>
              <w:t xml:space="preserve">b / ab / a</w:t>
            </w:r>
          </w:p>
        </w:tc>
      </w:tr>
    </w:tbl>
    <w:bookmarkEnd w:id="20"/>
    <w:p>
      <w:pPr>
        <w:pStyle w:val="FirstParagraph"/>
      </w:pPr>
      <w:r>
        <w:t xml:space="preserve">The residual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the standard curve is attributable to</w:t>
      </w:r>
      <w:r>
        <w:t xml:space="preserve"> </w:t>
      </w:r>
      <w:r>
        <w:t xml:space="preserve">the R package rounding its tabulated output to two to four decimal places,</w:t>
      </w:r>
      <w:r>
        <w:t xml:space="preserve"> </w:t>
      </w:r>
      <w:r>
        <w:t xml:space="preserve">since the underlying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inputs are identical.</w:t>
      </w:r>
    </w:p>
    <w:p>
      <w:pPr>
        <w:pStyle w:val="BodyText"/>
      </w:pPr>
      <w:r>
        <w:t xml:space="preserve">The statistical layer in Table S1(b) is reproduced by an independent base-R</w:t>
      </w:r>
      <w:r>
        <w:t xml:space="preserve"> </w:t>
      </w:r>
      <w:r>
        <w:t xml:space="preserve">script that needs no package at all (</w:t>
      </w:r>
      <w:r>
        <w:rPr>
          <w:rStyle w:val="VerbatimChar"/>
        </w:rPr>
        <w:t xml:space="preserve">code/validation/verify_stats.R</w:t>
      </w:r>
      <w:r>
        <w:t xml:space="preserve">),</w:t>
      </w:r>
      <w:r>
        <w:t xml:space="preserve"> </w:t>
      </w:r>
      <w:r>
        <w:t xml:space="preserve">so the reported</w:t>
      </w:r>
      <w:r>
        <w:t xml:space="preserve"> </w:t>
      </w:r>
      <m:oMath>
        <m:r>
          <m:t>p</m:t>
        </m:r>
      </m:oMath>
      <w:r>
        <w:t xml:space="preserve">-values and letter groupings can be checked without</w:t>
      </w:r>
      <w:r>
        <w:t xml:space="preserve"> </w:t>
      </w:r>
      <w:r>
        <w:t xml:space="preserve">installing the R package. The letter display is the compact letter display of</w:t>
      </w:r>
      <w:r>
        <w:t xml:space="preserve"> </w:t>
      </w:r>
      <w:r>
        <w:t xml:space="preserve">the Tukey HSD: group 0 and group 1 differ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0.0028</m:t>
        </m:r>
      </m:oMath>
      <w:r>
        <w:t xml:space="preserve">), whereas</w:t>
      </w:r>
      <w:r>
        <w:t xml:space="preserve"> </w:t>
      </w:r>
      <w:r>
        <w:t xml:space="preserve">group 0.5 is not separated from either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0.052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0.073</m:t>
        </m:r>
      </m:oMath>
      <w:r>
        <w:t xml:space="preserve">), giving b / ab / a. That borderline comparison is exactly the case in</w:t>
      </w:r>
      <w:r>
        <w:t xml:space="preserve"> </w:t>
      </w:r>
      <w:r>
        <w:t xml:space="preserve">which an incorrect multiple-comparison step is exposed, and it is covered by</w:t>
      </w:r>
      <w:r>
        <w:t xml:space="preserve"> </w:t>
      </w:r>
      <w:r>
        <w:t xml:space="preserve">both the script above and the regression tests in the repository.</w:t>
      </w:r>
    </w:p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" Type="http://schemas.openxmlformats.org/officeDocument/2006/relationships/image" Target="media/rId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qPCRtools: a cross-platform C++ desktop application for qPCR data analysis with validated equivalence to its R implementation</dc:title>
  <dc:creator>Xiang Li; Huichuan Huang</dc:creator>
  <cp:keywords/>
  <dcterms:created xsi:type="dcterms:W3CDTF">2026-10-19T05:28:12Z</dcterms:created>
  <dcterms:modified xsi:type="dcterms:W3CDTF">2026-10-19T05:28:12Z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/Users/lixiang/Zotero/styles/nlm-citation-sequence.csl</vt:lpwstr>
  </property>
  <property fmtid="{D5CDD505-2E9C-101B-9397-08002B2CF9AE}" pid="4" name="date">
    <vt:lpwstr/>
  </property>
</Properties>
</file>