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userbl模块</w:t>
      </w:r>
    </w:p>
    <w:p>
      <w:pPr>
        <w:numPr>
          <w:ilvl w:val="0"/>
          <w:numId w:val="1"/>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1"/>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4"/>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6"/>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5"/>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6"/>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7"/>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Browsebl模块</w:t>
      </w:r>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9865" cy="2613660"/>
            <wp:effectExtent l="0" t="0" r="6985" b="15240"/>
            <wp:docPr id="9" name="图片 9" descr="BrowseB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BL类图"/>
                    <pic:cNvPicPr>
                      <a:picLocks noChangeAspect="1"/>
                    </pic:cNvPicPr>
                  </pic:nvPicPr>
                  <pic:blipFill>
                    <a:blip r:embed="rId8"/>
                    <a:stretch>
                      <a:fillRect/>
                    </a:stretch>
                  </pic:blipFill>
                  <pic:spPr>
                    <a:xfrm>
                      <a:off x="0" y="0"/>
                      <a:ext cx="5269865" cy="2613660"/>
                    </a:xfrm>
                    <a:prstGeom prst="rect">
                      <a:avLst/>
                    </a:prstGeom>
                  </pic:spPr>
                </pic:pic>
              </a:graphicData>
            </a:graphic>
          </wp:inline>
        </w:drawing>
      </w:r>
      <w:bookmarkStart w:id="0" w:name="_GoBack"/>
      <w:bookmarkEnd w:id="0"/>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6"/>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BrowseHotel</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具体的适配Ataptee，适配对象，实现具体的浏览酒店信息服务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BrowseMember</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具体的适配Ataptee，适配对象，实现具体的浏览会员信息服务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BrowseStrategy</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具体的适配Ataptee，适配对象，实现具体的浏览策略信息服务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BrowseOrder</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具体的适配Ataptee，适配对象，实现具体的浏览订单信息服务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BrowseCredit</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具体的适配Ataptee，适配对象，实现具体的浏览信用信息服务</w:t>
            </w:r>
          </w:p>
        </w:tc>
      </w:tr>
    </w:tbl>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Controller、Browse和具体的Browse*的接口规范如下表所示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 其中id为-1，OrderType默认为异常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参数为该RuleVO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BaseList&lt;T&gt; 其属性有 list&lt;T&gt;为引用（里面可以只为1个）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ascii="Consolas" w:hAnsi="Consolas"/>
                <w:color w:val="000000"/>
                <w:sz w:val="20"/>
                <w:highlight w:val="white"/>
                <w:lang w:val="en-US" w:eastAsia="zh-CN"/>
              </w:rPr>
              <w:t xml:space="preserve"> </w:t>
            </w:r>
            <w:r>
              <w:rPr>
                <w:rFonts w:hint="eastAsia"/>
                <w:vertAlign w:val="baseline"/>
                <w:lang w:val="en-US" w:eastAsia="zh-CN"/>
              </w:rPr>
              <w:t>getData(Role role,long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vertAlign w:val="baseline"/>
                <w:lang w:val="en-US" w:eastAsia="zh-CN"/>
              </w:rPr>
              <w:t xml:space="preserve"> getData(long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根据其泛型T，jvm自己调用具体的adaptee的相应方法并返回（返回一个VO即对应BaseList只有一个VO对象）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vertAlign w:val="baseline"/>
                <w:lang w:val="en-US" w:eastAsia="zh-CN"/>
              </w:rPr>
              <w:t xml:space="preserve"> getData(RuleVO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BrowseOrder的类的接口规范如下（其继承基类Browse，类型为OrderVO）（只描述实现的接口，继承下未改动的查看父类）：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BrowseOrder</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OrderVO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getData(Role role,long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Role，调用相应的Order方法，获得相应列表后包装并返回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BrowseCredit的类的接口规范如下（其继承基类Browse，类型为CreditVO）（只描述实现的接口，继承下未改动的查看父类）：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BrowseCredit</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CreditVO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根据传入的userid调用credit的getInfo方法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BrowseHotel的类的接口规范如下（其继承基类Browse，类型为HotelVO）（只描述实现的接口，继承下未改动的查看父类）：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BrowseHotel</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HotelVO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根据传入的hotelid,调用hotel 的getinfo方法，包装信息后返回包装的信息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BrowseMember的类的接口规范如下（其继承基类Browse，类型为MemberVO）（只描述实现的接口，继承下未改动的查看父类）：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BrowseMember</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MemberVO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根据传入的userid调用member的方法</w:t>
            </w:r>
          </w:p>
          <w:p>
            <w:pPr>
              <w:rPr>
                <w:rFonts w:hint="eastAsia"/>
                <w:vertAlign w:val="baseline"/>
                <w:lang w:val="en-US" w:eastAsia="zh-CN"/>
              </w:rPr>
            </w:pPr>
            <w:r>
              <w:rPr>
                <w:rFonts w:hint="eastAsia"/>
                <w:vertAlign w:val="baseline"/>
                <w:lang w:val="en-US" w:eastAsia="zh-CN"/>
              </w:rPr>
              <w:t>长度为13，则为getInfo</w:t>
            </w:r>
          </w:p>
          <w:p>
            <w:pPr>
              <w:rPr>
                <w:rFonts w:hint="eastAsia"/>
                <w:vertAlign w:val="baseline"/>
                <w:lang w:val="en-US" w:eastAsia="zh-CN"/>
              </w:rPr>
            </w:pPr>
            <w:r>
              <w:rPr>
                <w:rFonts w:hint="eastAsia"/>
                <w:vertAlign w:val="baseline"/>
                <w:lang w:val="en-US" w:eastAsia="zh-CN"/>
              </w:rPr>
              <w:t>长度为1，则为getList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Member.getList(int type);</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得到对应的用户列表</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BrowseStrategy的类的接口规范如下（其继承基类Browse，类型为StrategyVO）（只描述实现的接口，继承下未改动的查看父类）：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BrowseStrategy</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StrategyVO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根据传入的orderid，调用Strategy的getInfo方法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r>
        <w:rPr>
          <w:rFonts w:hint="eastAsia"/>
          <w:lang w:val="en-US" w:eastAsia="zh-CN"/>
        </w:rPr>
        <w:drawing>
          <wp:inline distT="0" distB="0" distL="114300" distR="114300">
            <wp:extent cx="5272405" cy="2452370"/>
            <wp:effectExtent l="0" t="0" r="4445" b="5080"/>
            <wp:docPr id="6" name="图片 6" descr="Brow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9"/>
                    <a:stretch>
                      <a:fillRect/>
                    </a:stretch>
                  </pic:blipFill>
                  <pic:spPr>
                    <a:xfrm>
                      <a:off x="0" y="0"/>
                      <a:ext cx="5272405" cy="2452370"/>
                    </a:xfrm>
                    <a:prstGeom prst="rect">
                      <a:avLst/>
                    </a:prstGeom>
                  </pic:spPr>
                </pic:pic>
              </a:graphicData>
            </a:graphic>
          </wp:inline>
        </w:drawing>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C5D2"/>
    <w:multiLevelType w:val="singleLevel"/>
    <w:tmpl w:val="580DC5D2"/>
    <w:lvl w:ilvl="0" w:tentative="0">
      <w:start w:val="1"/>
      <w:numFmt w:val="decimal"/>
      <w:suff w:val="nothing"/>
      <w:lvlText w:val="(%1)"/>
      <w:lvlJc w:val="left"/>
    </w:lvl>
  </w:abstractNum>
  <w:abstractNum w:abstractNumId="1">
    <w:nsid w:val="580DD96F"/>
    <w:multiLevelType w:val="singleLevel"/>
    <w:tmpl w:val="580DD96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D3822"/>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0D723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2016-10-24T08:20:00Z</dcterms:created>
  <dc:creator>Whk</dc:creator>
  <cp:lastModifiedBy>Whk</cp:lastModifiedBy>
  <dcterms:modified xsi:type="dcterms:W3CDTF">2016-10-27T14:02:51Z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