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8B3E2" w14:textId="085D3C51" w:rsidR="00981DA1" w:rsidRDefault="00981DA1" w:rsidP="00B81647">
      <w:pPr>
        <w:jc w:val="center"/>
      </w:pPr>
    </w:p>
    <w:tbl>
      <w:tblPr>
        <w:tblStyle w:val="TableGrid"/>
        <w:tblW w:w="12685" w:type="dxa"/>
        <w:tblLook w:val="0420" w:firstRow="1" w:lastRow="0" w:firstColumn="0" w:lastColumn="0" w:noHBand="0" w:noVBand="1"/>
      </w:tblPr>
      <w:tblGrid>
        <w:gridCol w:w="3775"/>
        <w:gridCol w:w="4950"/>
        <w:gridCol w:w="3960"/>
      </w:tblGrid>
      <w:tr w:rsidR="004A6C17" w:rsidRPr="00933232" w14:paraId="4897707C" w14:textId="77777777" w:rsidTr="009C6AEB">
        <w:trPr>
          <w:trHeight w:val="311"/>
        </w:trPr>
        <w:tc>
          <w:tcPr>
            <w:tcW w:w="3775" w:type="dxa"/>
          </w:tcPr>
          <w:p w14:paraId="67D0F1BF" w14:textId="6BAA2B2B" w:rsidR="004A6C17" w:rsidRPr="00933232" w:rsidRDefault="00981DA1" w:rsidP="00B81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br w:type="page"/>
            </w:r>
            <w:r w:rsidR="004A6C17" w:rsidRPr="00933232">
              <w:rPr>
                <w:rFonts w:ascii="Times New Roman" w:hAnsi="Times New Roman" w:cs="Times New Roman"/>
                <w:b/>
                <w:bCs/>
              </w:rPr>
              <w:t>Health State</w:t>
            </w:r>
          </w:p>
        </w:tc>
        <w:tc>
          <w:tcPr>
            <w:tcW w:w="4950" w:type="dxa"/>
          </w:tcPr>
          <w:p w14:paraId="55D72000" w14:textId="44F953CF" w:rsidR="004A6C17" w:rsidRPr="00933232" w:rsidRDefault="004A6C17" w:rsidP="00B81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Status Quo</w:t>
            </w:r>
          </w:p>
        </w:tc>
        <w:tc>
          <w:tcPr>
            <w:tcW w:w="3960" w:type="dxa"/>
          </w:tcPr>
          <w:p w14:paraId="38F38441" w14:textId="1360C25A" w:rsidR="004A6C17" w:rsidRPr="00933232" w:rsidRDefault="004A6C17" w:rsidP="00B81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New Strategy</w:t>
            </w:r>
          </w:p>
        </w:tc>
      </w:tr>
      <w:tr w:rsidR="004A6C17" w:rsidRPr="00933232" w14:paraId="10C5CB7F" w14:textId="77777777" w:rsidTr="009C6AEB">
        <w:trPr>
          <w:trHeight w:val="324"/>
        </w:trPr>
        <w:tc>
          <w:tcPr>
            <w:tcW w:w="12685" w:type="dxa"/>
            <w:gridSpan w:val="3"/>
          </w:tcPr>
          <w:p w14:paraId="46E80823" w14:textId="565D9BC8" w:rsidR="004A6C17" w:rsidRPr="00933232" w:rsidRDefault="00023D45" w:rsidP="00023D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UTILITY</w:t>
            </w:r>
          </w:p>
        </w:tc>
      </w:tr>
      <w:tr w:rsidR="004A6C17" w:rsidRPr="00933232" w14:paraId="158C1168" w14:textId="77777777" w:rsidTr="009C6AEB">
        <w:trPr>
          <w:trHeight w:val="324"/>
        </w:trPr>
        <w:tc>
          <w:tcPr>
            <w:tcW w:w="3775" w:type="dxa"/>
          </w:tcPr>
          <w:p w14:paraId="35DEF0C4" w14:textId="75EE7BC1" w:rsidR="004A6C17" w:rsidRPr="00933232" w:rsidRDefault="004A6C17" w:rsidP="00B81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Healthy</w:t>
            </w:r>
          </w:p>
        </w:tc>
        <w:tc>
          <w:tcPr>
            <w:tcW w:w="4950" w:type="dxa"/>
          </w:tcPr>
          <w:p w14:paraId="44C76359" w14:textId="61884BD8" w:rsidR="004A6C17" w:rsidRPr="00933232" w:rsidRDefault="00BE426F" w:rsidP="00B816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0.637</w:t>
            </w:r>
          </w:p>
        </w:tc>
        <w:tc>
          <w:tcPr>
            <w:tcW w:w="3960" w:type="dxa"/>
          </w:tcPr>
          <w:p w14:paraId="303B267F" w14:textId="0145F22D" w:rsidR="004A6C17" w:rsidRPr="00933232" w:rsidRDefault="00544221" w:rsidP="00B816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0.637</w:t>
            </w:r>
          </w:p>
        </w:tc>
      </w:tr>
      <w:tr w:rsidR="004A6C17" w:rsidRPr="00933232" w14:paraId="2DDB6452" w14:textId="77777777" w:rsidTr="009C6AEB">
        <w:trPr>
          <w:trHeight w:val="324"/>
        </w:trPr>
        <w:tc>
          <w:tcPr>
            <w:tcW w:w="3775" w:type="dxa"/>
          </w:tcPr>
          <w:p w14:paraId="2958E2EE" w14:textId="56C5819F" w:rsidR="004A6C17" w:rsidRPr="00933232" w:rsidRDefault="004A6C17" w:rsidP="00B81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Stroke</w:t>
            </w:r>
          </w:p>
        </w:tc>
        <w:tc>
          <w:tcPr>
            <w:tcW w:w="4950" w:type="dxa"/>
          </w:tcPr>
          <w:p w14:paraId="52067E3B" w14:textId="6FD29799" w:rsidR="004A6C17" w:rsidRPr="00BE426F" w:rsidRDefault="00BE426F" w:rsidP="00B81647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0.573</w:t>
            </w:r>
            <w:r>
              <w:rPr>
                <w:rFonts w:ascii="Times New Roman" w:hAnsi="Times New Roman" w:cs="Times New Roman"/>
                <w:vertAlign w:val="superscript"/>
              </w:rPr>
              <w:t>&amp;</w:t>
            </w:r>
          </w:p>
        </w:tc>
        <w:tc>
          <w:tcPr>
            <w:tcW w:w="3960" w:type="dxa"/>
          </w:tcPr>
          <w:p w14:paraId="5E2578FF" w14:textId="37FBF77E" w:rsidR="004A6C17" w:rsidRPr="00933232" w:rsidRDefault="00544221" w:rsidP="00B816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0.573</w:t>
            </w:r>
            <w:r>
              <w:rPr>
                <w:rFonts w:ascii="Times New Roman" w:hAnsi="Times New Roman" w:cs="Times New Roman"/>
                <w:vertAlign w:val="superscript"/>
              </w:rPr>
              <w:t>&amp;</w:t>
            </w:r>
          </w:p>
        </w:tc>
      </w:tr>
      <w:tr w:rsidR="004A6C17" w:rsidRPr="00933232" w14:paraId="3275237C" w14:textId="77777777" w:rsidTr="009C6AEB">
        <w:trPr>
          <w:trHeight w:val="324"/>
        </w:trPr>
        <w:tc>
          <w:tcPr>
            <w:tcW w:w="12685" w:type="dxa"/>
            <w:gridSpan w:val="3"/>
          </w:tcPr>
          <w:p w14:paraId="29C267BB" w14:textId="0A55CF93" w:rsidR="004A6C17" w:rsidRPr="00933232" w:rsidRDefault="004A6C17" w:rsidP="00B81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COST</w:t>
            </w:r>
          </w:p>
        </w:tc>
      </w:tr>
      <w:tr w:rsidR="004A6C17" w:rsidRPr="00933232" w14:paraId="20E5654A" w14:textId="77777777" w:rsidTr="009C6AEB">
        <w:trPr>
          <w:trHeight w:val="324"/>
        </w:trPr>
        <w:tc>
          <w:tcPr>
            <w:tcW w:w="3775" w:type="dxa"/>
          </w:tcPr>
          <w:p w14:paraId="3CF1CDE6" w14:textId="60F6F825" w:rsidR="004A6C17" w:rsidRPr="00933232" w:rsidRDefault="004A6C17" w:rsidP="003B32AA">
            <w:pPr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Healthy</w:t>
            </w:r>
          </w:p>
        </w:tc>
        <w:tc>
          <w:tcPr>
            <w:tcW w:w="4950" w:type="dxa"/>
          </w:tcPr>
          <w:p w14:paraId="2374B7D0" w14:textId="12533042" w:rsidR="004A6C17" w:rsidRPr="00861602" w:rsidRDefault="00CF768D" w:rsidP="00E8781B">
            <w:pPr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 w:rsidRPr="00933232">
              <w:rPr>
                <w:rFonts w:ascii="Times New Roman" w:hAnsi="Times New Roman" w:cs="Times New Roman"/>
                <w:color w:val="000000"/>
              </w:rPr>
              <w:t>£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4</w:t>
            </w:r>
            <w:r w:rsidR="00453E38">
              <w:rPr>
                <w:rFonts w:ascii="Times New Roman" w:hAnsi="Times New Roman" w:cs="Times New Roman"/>
                <w:color w:val="000000"/>
              </w:rPr>
              <w:t>792</w:t>
            </w:r>
            <w:r w:rsidR="00E8781B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861602" w:rsidRPr="00933232">
              <w:rPr>
                <w:rFonts w:ascii="Times New Roman" w:hAnsi="Times New Roman" w:cs="Times New Roman"/>
                <w:color w:val="000000"/>
              </w:rPr>
              <w:t xml:space="preserve">2018 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Prices)</w:t>
            </w:r>
            <w:r w:rsidR="00E8781B" w:rsidRPr="00933232"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#</w:t>
            </w:r>
            <w:r w:rsidR="00861602">
              <w:rPr>
                <w:rFonts w:ascii="Times New Roman" w:hAnsi="Times New Roman" w:cs="Times New Roman"/>
                <w:color w:val="000000"/>
                <w:vertAlign w:val="superscript"/>
              </w:rPr>
              <w:t>#</w:t>
            </w:r>
          </w:p>
        </w:tc>
        <w:tc>
          <w:tcPr>
            <w:tcW w:w="3960" w:type="dxa"/>
          </w:tcPr>
          <w:p w14:paraId="4FBC766F" w14:textId="3013BBD8" w:rsidR="004A6C17" w:rsidRPr="00861602" w:rsidRDefault="00933232" w:rsidP="00E8781B">
            <w:pPr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 w:rsidRPr="00933232">
              <w:rPr>
                <w:rFonts w:ascii="Times New Roman" w:hAnsi="Times New Roman" w:cs="Times New Roman"/>
                <w:color w:val="000000"/>
              </w:rPr>
              <w:t>£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4</w:t>
            </w:r>
            <w:r w:rsidR="00E8781B">
              <w:rPr>
                <w:rFonts w:ascii="Times New Roman" w:hAnsi="Times New Roman" w:cs="Times New Roman"/>
                <w:color w:val="000000"/>
              </w:rPr>
              <w:t>812 (</w:t>
            </w:r>
            <w:r w:rsidR="00861602" w:rsidRPr="00933232">
              <w:rPr>
                <w:rFonts w:ascii="Times New Roman" w:hAnsi="Times New Roman" w:cs="Times New Roman"/>
                <w:color w:val="000000"/>
              </w:rPr>
              <w:t xml:space="preserve">2018 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Prices)</w:t>
            </w:r>
            <w:r w:rsidR="00E8781B" w:rsidRPr="00933232"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#</w:t>
            </w:r>
            <w:r w:rsidR="00861602">
              <w:rPr>
                <w:rFonts w:ascii="Times New Roman" w:hAnsi="Times New Roman" w:cs="Times New Roman"/>
                <w:color w:val="000000"/>
                <w:vertAlign w:val="superscript"/>
              </w:rPr>
              <w:t>#</w:t>
            </w:r>
          </w:p>
        </w:tc>
      </w:tr>
      <w:tr w:rsidR="004A6C17" w:rsidRPr="00933232" w14:paraId="4D88E1E5" w14:textId="77777777" w:rsidTr="009C6AEB">
        <w:trPr>
          <w:trHeight w:val="700"/>
        </w:trPr>
        <w:tc>
          <w:tcPr>
            <w:tcW w:w="3775" w:type="dxa"/>
          </w:tcPr>
          <w:p w14:paraId="6F34885E" w14:textId="64DE16BD" w:rsidR="004A6C17" w:rsidRPr="00933232" w:rsidRDefault="004A6C17" w:rsidP="003B32AA">
            <w:pPr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Stroke</w:t>
            </w:r>
            <w:r w:rsidR="007E5D97" w:rsidRPr="00933232">
              <w:rPr>
                <w:rFonts w:ascii="Times New Roman" w:hAnsi="Times New Roman" w:cs="Times New Roman"/>
                <w:b/>
                <w:bCs/>
              </w:rPr>
              <w:t xml:space="preserve"> HCM Related</w:t>
            </w:r>
          </w:p>
        </w:tc>
        <w:tc>
          <w:tcPr>
            <w:tcW w:w="4950" w:type="dxa"/>
          </w:tcPr>
          <w:p w14:paraId="4D607A27" w14:textId="1FC09EF2" w:rsidR="004A6C17" w:rsidRPr="00861602" w:rsidRDefault="00CF768D" w:rsidP="00E8781B">
            <w:pPr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 w:rsidRPr="00933232">
              <w:rPr>
                <w:rFonts w:ascii="Times New Roman" w:hAnsi="Times New Roman" w:cs="Times New Roman"/>
                <w:color w:val="000000"/>
              </w:rPr>
              <w:t>£2</w:t>
            </w:r>
            <w:r w:rsidR="00C01598" w:rsidRPr="00933232">
              <w:rPr>
                <w:rFonts w:ascii="Times New Roman" w:hAnsi="Times New Roman" w:cs="Times New Roman"/>
                <w:color w:val="000000"/>
              </w:rPr>
              <w:t>2,880</w:t>
            </w:r>
            <w:r w:rsidR="00E8781B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C01598" w:rsidRPr="00933232">
              <w:rPr>
                <w:rFonts w:ascii="Times New Roman" w:hAnsi="Times New Roman" w:cs="Times New Roman"/>
                <w:color w:val="000000"/>
              </w:rPr>
              <w:t xml:space="preserve">2018 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Prices)</w:t>
            </w:r>
            <w:r w:rsidR="00E8781B" w:rsidRPr="00933232"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#</w:t>
            </w:r>
          </w:p>
        </w:tc>
        <w:tc>
          <w:tcPr>
            <w:tcW w:w="3960" w:type="dxa"/>
          </w:tcPr>
          <w:p w14:paraId="093B1BB0" w14:textId="0FBB09BF" w:rsidR="004A6C17" w:rsidRPr="00933232" w:rsidRDefault="00C01598" w:rsidP="00E8781B">
            <w:pPr>
              <w:rPr>
                <w:rFonts w:ascii="Times New Roman" w:hAnsi="Times New Roman" w:cs="Times New Roman"/>
                <w:vertAlign w:val="superscript"/>
              </w:rPr>
            </w:pPr>
            <w:r w:rsidRPr="00933232">
              <w:rPr>
                <w:rFonts w:ascii="Times New Roman" w:hAnsi="Times New Roman" w:cs="Times New Roman"/>
                <w:color w:val="000000"/>
              </w:rPr>
              <w:t>£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22,880.00</w:t>
            </w:r>
            <w:r w:rsidR="00E8781B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933232">
              <w:rPr>
                <w:rFonts w:ascii="Times New Roman" w:hAnsi="Times New Roman" w:cs="Times New Roman"/>
                <w:color w:val="000000"/>
              </w:rPr>
              <w:t xml:space="preserve">2018 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Prices)</w:t>
            </w:r>
            <w:r w:rsidR="00E8781B" w:rsidRPr="00933232"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#</w:t>
            </w:r>
          </w:p>
        </w:tc>
      </w:tr>
      <w:tr w:rsidR="00C01598" w:rsidRPr="00933232" w14:paraId="59FA9683" w14:textId="77777777" w:rsidTr="009C6AEB">
        <w:trPr>
          <w:trHeight w:val="1098"/>
        </w:trPr>
        <w:tc>
          <w:tcPr>
            <w:tcW w:w="12685" w:type="dxa"/>
            <w:gridSpan w:val="3"/>
          </w:tcPr>
          <w:p w14:paraId="38979F3E" w14:textId="740FF4D6" w:rsidR="00C01598" w:rsidRPr="003B32AA" w:rsidRDefault="008D3F95" w:rsidP="0086160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B32A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#</w:t>
            </w:r>
            <w:r w:rsidR="00C01598" w:rsidRPr="003B32AA">
              <w:rPr>
                <w:rFonts w:ascii="Times New Roman" w:hAnsi="Times New Roman" w:cs="Times New Roman"/>
                <w:sz w:val="18"/>
                <w:szCs w:val="18"/>
              </w:rPr>
              <w:t xml:space="preserve">Obtained from the State of the Nation-Stroke Statistic, 2017 Report by the Stroke Association UK. An inflation rate of 1.04 was used to </w:t>
            </w:r>
            <w:r w:rsidR="00453E38" w:rsidRPr="003B32AA">
              <w:rPr>
                <w:rFonts w:ascii="Times New Roman" w:hAnsi="Times New Roman" w:cs="Times New Roman"/>
                <w:sz w:val="18"/>
                <w:szCs w:val="18"/>
              </w:rPr>
              <w:t>convert</w:t>
            </w:r>
            <w:r w:rsidR="00C01598" w:rsidRPr="003B32AA">
              <w:rPr>
                <w:rFonts w:ascii="Times New Roman" w:hAnsi="Times New Roman" w:cs="Times New Roman"/>
                <w:sz w:val="18"/>
                <w:szCs w:val="18"/>
              </w:rPr>
              <w:t xml:space="preserve"> to 2018 prices.</w:t>
            </w:r>
          </w:p>
          <w:p w14:paraId="370F28AC" w14:textId="2618D5A5" w:rsidR="00EF53BC" w:rsidRDefault="00EF53BC" w:rsidP="003B32A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B32A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##</w:t>
            </w:r>
            <w:r w:rsidR="003B32AA" w:rsidRPr="003B32AA">
              <w:rPr>
                <w:rFonts w:ascii="Times New Roman" w:hAnsi="Times New Roman" w:cs="Times New Roman"/>
                <w:sz w:val="18"/>
                <w:szCs w:val="18"/>
              </w:rPr>
              <w:t xml:space="preserve">Cost of ICD implantation </w:t>
            </w:r>
            <w:r w:rsidR="00640F0E">
              <w:rPr>
                <w:rFonts w:ascii="Times New Roman" w:hAnsi="Times New Roman" w:cs="Times New Roman"/>
                <w:sz w:val="18"/>
                <w:szCs w:val="18"/>
              </w:rPr>
              <w:t xml:space="preserve">as a day case </w:t>
            </w:r>
            <w:r w:rsidR="003B32AA" w:rsidRPr="003B32AA">
              <w:rPr>
                <w:rFonts w:ascii="Times New Roman" w:hAnsi="Times New Roman" w:cs="Times New Roman"/>
                <w:sz w:val="18"/>
                <w:szCs w:val="18"/>
              </w:rPr>
              <w:t xml:space="preserve">is </w:t>
            </w:r>
            <w:r w:rsidR="003B32AA"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£4792</w:t>
            </w:r>
            <w:r w:rsidR="00640F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640F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fldChar w:fldCharType="begin"/>
            </w:r>
            <w:r w:rsidR="00640F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instrText xml:space="preserve"> ADDIN EN.CITE &lt;EndNote&gt;&lt;Cite&gt;&lt;Author&gt;Waight&lt;/Author&gt;&lt;Year&gt;2019&lt;/Year&gt;&lt;RecNum&gt;16&lt;/RecNum&gt;&lt;DisplayText&gt;(Waight et al., 2019)&lt;/DisplayText&gt;&lt;record&gt;&lt;rec-number&gt;16&lt;/rec-number&gt;&lt;foreign-keys&gt;&lt;key app="EN" db-id="eeasvwr5axspf8ev0x0pr2zpsrx99sdt5vsw" timestamp="1567776895"&gt;16&lt;/key&gt;&lt;/foreign-keys&gt;&lt;ref-type name="Journal Article"&gt;17&lt;/ref-type&gt;&lt;contributors&gt;&lt;authors&gt;&lt;author&gt;Waight, Michael&lt;/author&gt;&lt;author&gt;Elawady, Abdula&lt;/author&gt;&lt;author&gt;Gage, Heather&lt;/author&gt;&lt;author&gt;Touray, Morro&lt;/author&gt;&lt;author&gt;Adhya, Shaumik&lt;/author&gt;&lt;/authors&gt;&lt;/contributors&gt;&lt;titles&gt;&lt;title&gt;Day case complex devices: the state of the UK&lt;/title&gt;&lt;secondary-title&gt;Open heart&lt;/secondary-title&gt;&lt;/titles&gt;&lt;periodical&gt;&lt;full-title&gt;Open heart&lt;/full-title&gt;&lt;/periodical&gt;&lt;pages&gt;e001023&lt;/pages&gt;&lt;volume&gt;6&lt;/volume&gt;&lt;number&gt;1&lt;/number&gt;&lt;dates&gt;&lt;year&gt;2019&lt;/year&gt;&lt;/dates&gt;&lt;isbn&gt;2053-3624&lt;/isbn&gt;&lt;urls&gt;&lt;related-urls&gt;&lt;url&gt;https://www.ncbi.nlm.nih.gov/pmc/articles/PMC6519613/pdf/openhrt-2019-001023.pdf&lt;/url&gt;&lt;/related-urls&gt;&lt;/urls&gt;&lt;/record&gt;&lt;/Cite&gt;&lt;/EndNote&gt;</w:instrText>
            </w:r>
            <w:r w:rsidR="00640F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fldChar w:fldCharType="separate"/>
            </w:r>
            <w:r w:rsidR="00640F0E">
              <w:rPr>
                <w:rFonts w:ascii="Times New Roman" w:hAnsi="Times New Roman" w:cs="Times New Roman"/>
                <w:noProof/>
                <w:color w:val="000000"/>
                <w:sz w:val="18"/>
                <w:szCs w:val="18"/>
              </w:rPr>
              <w:t>(Waight et al., 2019)</w:t>
            </w:r>
            <w:r w:rsidR="00640F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fldChar w:fldCharType="end"/>
            </w:r>
            <w:r w:rsidR="003B32AA"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 w:rsidRPr="003B32AA">
              <w:rPr>
                <w:rFonts w:ascii="Times New Roman" w:hAnsi="Times New Roman" w:cs="Times New Roman"/>
                <w:sz w:val="18"/>
                <w:szCs w:val="18"/>
              </w:rPr>
              <w:t xml:space="preserve">consultation fee of </w:t>
            </w:r>
            <w:r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£20 is added to the cost </w:t>
            </w:r>
            <w:r w:rsidR="0045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of </w:t>
            </w:r>
            <w:r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implantation, when screened for SCD, under </w:t>
            </w:r>
            <w:r w:rsidR="0045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the</w:t>
            </w:r>
            <w:r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new strategy</w:t>
            </w:r>
            <w:r w:rsidR="003B32AA"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="00E8781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3B32AA"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‘Status Quo’ refers to current method of screening for SCD. ‘New Strategy’ refers to screening for SCD with HCM-SCD Prediction Model.</w:t>
            </w:r>
          </w:p>
          <w:p w14:paraId="3306408A" w14:textId="7EE5574E" w:rsidR="00BE426F" w:rsidRPr="003B32AA" w:rsidRDefault="00BE426F" w:rsidP="003B32A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&amp;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Obtained after applying a decrement of 0.1 to the utility score for the Healthy health state. </w:t>
            </w:r>
          </w:p>
        </w:tc>
      </w:tr>
    </w:tbl>
    <w:p w14:paraId="3B89184B" w14:textId="77777777" w:rsidR="00C01598" w:rsidRDefault="00C01598">
      <w:r>
        <w:br w:type="page"/>
      </w:r>
    </w:p>
    <w:tbl>
      <w:tblPr>
        <w:tblStyle w:val="TableGrid"/>
        <w:tblW w:w="13443" w:type="dxa"/>
        <w:tblLayout w:type="fixed"/>
        <w:tblLook w:val="0420" w:firstRow="1" w:lastRow="0" w:firstColumn="0" w:lastColumn="0" w:noHBand="0" w:noVBand="1"/>
      </w:tblPr>
      <w:tblGrid>
        <w:gridCol w:w="2065"/>
        <w:gridCol w:w="994"/>
        <w:gridCol w:w="1076"/>
        <w:gridCol w:w="900"/>
        <w:gridCol w:w="810"/>
        <w:gridCol w:w="1890"/>
        <w:gridCol w:w="670"/>
        <w:gridCol w:w="769"/>
        <w:gridCol w:w="901"/>
        <w:gridCol w:w="810"/>
        <w:gridCol w:w="2558"/>
      </w:tblGrid>
      <w:tr w:rsidR="0096128B" w:rsidRPr="001806F3" w14:paraId="31BC3932" w14:textId="77777777" w:rsidTr="009C6AEB">
        <w:trPr>
          <w:trHeight w:val="284"/>
        </w:trPr>
        <w:tc>
          <w:tcPr>
            <w:tcW w:w="2065" w:type="dxa"/>
          </w:tcPr>
          <w:p w14:paraId="5EC2A3CD" w14:textId="7CDF048E" w:rsidR="00F45A3F" w:rsidRPr="001806F3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From </w:t>
            </w:r>
          </w:p>
        </w:tc>
        <w:tc>
          <w:tcPr>
            <w:tcW w:w="2070" w:type="dxa"/>
            <w:gridSpan w:val="2"/>
          </w:tcPr>
          <w:p w14:paraId="6C12E2A3" w14:textId="748FE00F" w:rsidR="00F45A3F" w:rsidRPr="001806F3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>To</w:t>
            </w:r>
          </w:p>
          <w:p w14:paraId="2B8D6806" w14:textId="77777777" w:rsidR="00F45A3F" w:rsidRPr="001806F3" w:rsidRDefault="00F45A3F" w:rsidP="00EF432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600" w:type="dxa"/>
            <w:gridSpan w:val="3"/>
          </w:tcPr>
          <w:p w14:paraId="6ADC7BBA" w14:textId="5809C498" w:rsidR="00F45A3F" w:rsidRPr="001806F3" w:rsidRDefault="00F45A3F" w:rsidP="00CF2E8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>Observed Transitions</w:t>
            </w:r>
            <w:r w:rsidR="00086640" w:rsidRPr="001806F3">
              <w:rPr>
                <w:rFonts w:ascii="Times New Roman" w:hAnsi="Times New Roman" w:cs="Times New Roman"/>
                <w:b/>
                <w:bCs/>
              </w:rPr>
              <w:t xml:space="preserve"> (y out of n)</w:t>
            </w:r>
          </w:p>
          <w:p w14:paraId="27838EB3" w14:textId="77777777" w:rsidR="00F45A3F" w:rsidRPr="001806F3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50" w:type="dxa"/>
            <w:gridSpan w:val="4"/>
          </w:tcPr>
          <w:p w14:paraId="7D0633E1" w14:textId="77777777" w:rsidR="00F45A3F" w:rsidRPr="001806F3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>Rate (Probability)</w:t>
            </w:r>
          </w:p>
        </w:tc>
        <w:tc>
          <w:tcPr>
            <w:tcW w:w="2558" w:type="dxa"/>
          </w:tcPr>
          <w:p w14:paraId="72012A2F" w14:textId="3648DD3B" w:rsidR="00F45A3F" w:rsidRPr="001806F3" w:rsidRDefault="004D5DDB" w:rsidP="00EF43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>Reference</w:t>
            </w:r>
          </w:p>
        </w:tc>
      </w:tr>
      <w:tr w:rsidR="0096128B" w:rsidRPr="002571D3" w14:paraId="304B09C7" w14:textId="77777777" w:rsidTr="009C6AEB">
        <w:trPr>
          <w:trHeight w:val="284"/>
        </w:trPr>
        <w:tc>
          <w:tcPr>
            <w:tcW w:w="2065" w:type="dxa"/>
          </w:tcPr>
          <w:p w14:paraId="1CEB1134" w14:textId="77777777" w:rsidR="00F45A3F" w:rsidRPr="002571D3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  <w:gridSpan w:val="2"/>
          </w:tcPr>
          <w:p w14:paraId="00FFA9CC" w14:textId="77777777" w:rsidR="00F45A3F" w:rsidRPr="002571D3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6B21A989" w14:textId="77777777" w:rsidR="00F45A3F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gridSpan w:val="4"/>
          </w:tcPr>
          <w:p w14:paraId="0571CFFB" w14:textId="77777777" w:rsidR="00F45A3F" w:rsidRPr="002571D3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8" w:type="dxa"/>
          </w:tcPr>
          <w:p w14:paraId="7A447BB7" w14:textId="77777777" w:rsidR="00F45A3F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128B" w:rsidRPr="002571D3" w14:paraId="5732876B" w14:textId="77777777" w:rsidTr="009C6AEB">
        <w:trPr>
          <w:trHeight w:val="381"/>
        </w:trPr>
        <w:tc>
          <w:tcPr>
            <w:tcW w:w="2065" w:type="dxa"/>
          </w:tcPr>
          <w:p w14:paraId="49C2D928" w14:textId="77777777" w:rsidR="00F45A3F" w:rsidRPr="00CF2E85" w:rsidRDefault="00F45A3F" w:rsidP="00EF43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Healthy</w:t>
            </w:r>
          </w:p>
        </w:tc>
        <w:tc>
          <w:tcPr>
            <w:tcW w:w="2070" w:type="dxa"/>
            <w:gridSpan w:val="2"/>
          </w:tcPr>
          <w:p w14:paraId="5311A068" w14:textId="77777777" w:rsidR="00F45A3F" w:rsidRPr="00CF2E85" w:rsidRDefault="00F45A3F" w:rsidP="00EF43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Healthy</w:t>
            </w:r>
          </w:p>
        </w:tc>
        <w:tc>
          <w:tcPr>
            <w:tcW w:w="3600" w:type="dxa"/>
            <w:gridSpan w:val="3"/>
          </w:tcPr>
          <w:p w14:paraId="66439D8E" w14:textId="7BE459AB" w:rsidR="00F45A3F" w:rsidRPr="00D24ACE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A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24A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6640">
              <w:rPr>
                <w:rFonts w:ascii="Times New Roman" w:hAnsi="Times New Roman" w:cs="Times New Roman"/>
                <w:sz w:val="24"/>
                <w:szCs w:val="24"/>
              </w:rPr>
              <w:t>of 506</w:t>
            </w:r>
          </w:p>
        </w:tc>
        <w:tc>
          <w:tcPr>
            <w:tcW w:w="3150" w:type="dxa"/>
            <w:gridSpan w:val="4"/>
          </w:tcPr>
          <w:p w14:paraId="4B004061" w14:textId="77777777" w:rsidR="00F45A3F" w:rsidRPr="004B11F6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558" w:type="dxa"/>
          </w:tcPr>
          <w:p w14:paraId="63B2A360" w14:textId="77777777" w:rsidR="00F45A3F" w:rsidRPr="004B11F6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11F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PEVuZE5vdGU+PENpdGU+PEF1dGhvcj5NYXJvbjwvQXV0aG9yPjxZZWFyPjIwMDc8L1llYXI+PFJl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=
</w:fldData>
              </w:fldChar>
            </w:r>
            <w:r w:rsidRPr="004B11F6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 w:rsidRPr="004B11F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PEVuZE5vdGU+PENpdGU+PEF1dGhvcj5NYXJvbjwvQXV0aG9yPjxZZWFyPjIwMDc8L1llYXI+PFJl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=
</w:fldData>
              </w:fldChar>
            </w:r>
            <w:r w:rsidRPr="004B11F6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 w:rsidRPr="004B11F6">
              <w:rPr>
                <w:rFonts w:ascii="Times New Roman" w:hAnsi="Times New Roman" w:cs="Times New Roman"/>
                <w:sz w:val="24"/>
                <w:szCs w:val="24"/>
              </w:rPr>
            </w:r>
            <w:r w:rsidRPr="004B11F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B11F6">
              <w:rPr>
                <w:rFonts w:ascii="Times New Roman" w:hAnsi="Times New Roman" w:cs="Times New Roman"/>
                <w:sz w:val="24"/>
                <w:szCs w:val="24"/>
              </w:rPr>
            </w:r>
            <w:r w:rsidRPr="004B11F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B11F6">
              <w:rPr>
                <w:rFonts w:ascii="Times New Roman" w:hAnsi="Times New Roman" w:cs="Times New Roman"/>
                <w:noProof/>
                <w:sz w:val="24"/>
                <w:szCs w:val="24"/>
              </w:rPr>
              <w:t>(Maron et al., 2007)</w:t>
            </w:r>
            <w:r w:rsidRPr="004B11F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6128B" w:rsidRPr="002571D3" w14:paraId="12296DBE" w14:textId="77777777" w:rsidTr="009C6AEB">
        <w:trPr>
          <w:trHeight w:val="381"/>
        </w:trPr>
        <w:tc>
          <w:tcPr>
            <w:tcW w:w="2065" w:type="dxa"/>
            <w:vMerge w:val="restart"/>
          </w:tcPr>
          <w:p w14:paraId="48820324" w14:textId="77777777" w:rsidR="00F45A3F" w:rsidRPr="00CF2E85" w:rsidRDefault="00F45A3F" w:rsidP="00EF43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Healthy</w:t>
            </w:r>
            <w:r w:rsidRPr="00CF2E8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70" w:type="dxa"/>
            <w:gridSpan w:val="2"/>
            <w:vMerge w:val="restart"/>
          </w:tcPr>
          <w:p w14:paraId="3EBF4BCD" w14:textId="77777777" w:rsidR="00F45A3F" w:rsidRPr="00CF2E85" w:rsidRDefault="00F45A3F" w:rsidP="00EF43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Stroke HCM Related</w:t>
            </w:r>
            <w:r w:rsidRPr="00CF2E8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3600" w:type="dxa"/>
            <w:gridSpan w:val="3"/>
          </w:tcPr>
          <w:p w14:paraId="4BCBDB80" w14:textId="73199E13" w:rsidR="00F45A3F" w:rsidRPr="00B21D0A" w:rsidRDefault="00B172D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  <w:r w:rsidR="0008664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of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1000</w:t>
            </w:r>
          </w:p>
        </w:tc>
        <w:tc>
          <w:tcPr>
            <w:tcW w:w="3150" w:type="dxa"/>
            <w:gridSpan w:val="4"/>
          </w:tcPr>
          <w:p w14:paraId="66B0AA25" w14:textId="77777777" w:rsidR="00F45A3F" w:rsidRPr="00B21D0A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1D0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0.0035(</w:t>
            </w:r>
            <w:r w:rsidRPr="00B21D0A">
              <w:rPr>
                <w:rFonts w:ascii="Calibri" w:hAnsi="Calibri" w:cs="Calibri"/>
                <w:color w:val="000000"/>
                <w:highlight w:val="yellow"/>
              </w:rPr>
              <w:t>0.003494)</w:t>
            </w:r>
          </w:p>
        </w:tc>
        <w:tc>
          <w:tcPr>
            <w:tcW w:w="2558" w:type="dxa"/>
          </w:tcPr>
          <w:p w14:paraId="227C35D2" w14:textId="77777777" w:rsidR="00F45A3F" w:rsidRPr="00CF2E85" w:rsidRDefault="00F45A3F" w:rsidP="00EF43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Assumption</w:t>
            </w:r>
          </w:p>
        </w:tc>
      </w:tr>
      <w:tr w:rsidR="0096128B" w:rsidRPr="002571D3" w14:paraId="0C1FA966" w14:textId="77777777" w:rsidTr="009C6AEB">
        <w:trPr>
          <w:trHeight w:val="354"/>
        </w:trPr>
        <w:tc>
          <w:tcPr>
            <w:tcW w:w="2065" w:type="dxa"/>
            <w:vMerge/>
          </w:tcPr>
          <w:p w14:paraId="5A63CB31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vMerge/>
          </w:tcPr>
          <w:p w14:paraId="41770758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gridSpan w:val="3"/>
          </w:tcPr>
          <w:p w14:paraId="0E618E11" w14:textId="4D622388" w:rsidR="00F45A3F" w:rsidRPr="002571D3" w:rsidRDefault="00B172D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45A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6640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50" w:type="dxa"/>
            <w:gridSpan w:val="4"/>
          </w:tcPr>
          <w:p w14:paraId="4F93E682" w14:textId="77777777" w:rsidR="00F45A3F" w:rsidRPr="002571D3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1D3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9160C">
              <w:t>0.002995194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8" w:type="dxa"/>
          </w:tcPr>
          <w:p w14:paraId="77FEFC3D" w14:textId="77777777" w:rsidR="00F45A3F" w:rsidRPr="00CF2E85" w:rsidRDefault="00F45A3F" w:rsidP="00EF43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&lt;EndNote&gt;&lt;Cite&gt;&lt;Author&gt;O&amp;apos;Mahony&lt;/Author&gt;&lt;Year&gt;2012&lt;/Year&gt;&lt;RecNum&gt;94&lt;/RecNum&gt;&lt;DisplayText&gt;(O&amp;apos;Mahony et al., 2012)&lt;/DisplayText&gt;&lt;record&gt;&lt;rec-number&gt;94&lt;/rec-number&gt;&lt;foreign-keys&gt;&lt;key app="EN" db-id="eeasvwr5axspf8ev0x0pr2zpsrx99sdt5vsw" timestamp="1577794419"&gt;94&lt;/key&gt;&lt;/foreign-keys&gt;&lt;ref-type name="Journal Article"&gt;17&lt;/ref-type&gt;&lt;contributors&gt;&lt;authors&gt;&lt;author&gt;O&amp;apos;Mahony, Constantinos&lt;/author&gt;&lt;author&gt;Lambiase, Pier D&lt;/author&gt;&lt;author&gt;Quarta, Giovanni&lt;/author&gt;&lt;author&gt;Cardona, Montserrat&lt;/author&gt;&lt;author&gt;Calcagnino, Margherita&lt;/author&gt;&lt;author&gt;Tsovolas, Konstantinos&lt;/author&gt;&lt;author&gt;Al-Shaikh, Shereen&lt;/author&gt;&lt;author&gt;Rahman, Shafiqur M&lt;/author&gt;&lt;author&gt;Arnous, Samer&lt;/author&gt;&lt;author&gt;Jones, Sue&lt;/author&gt;&lt;/authors&gt;&lt;/contributors&gt;&lt;titles&gt;&lt;title&gt;The long-term survival and the risks and benefits of implantable cardioverter defibrillators in patients with hypertrophic cardiomyopathy&lt;/title&gt;&lt;secondary-title&gt;Heart&lt;/secondary-title&gt;&lt;/titles&gt;&lt;periodical&gt;&lt;full-title&gt;Heart&lt;/full-title&gt;&lt;/periodical&gt;&lt;pages&gt;116-125&lt;/pages&gt;&lt;volume&gt;98&lt;/volume&gt;&lt;number&gt;2&lt;/number&gt;&lt;dates&gt;&lt;year&gt;2012&lt;/year&gt;&lt;/dates&gt;&lt;isbn&gt;1355-6037&lt;/isbn&gt;&lt;urls&gt;&lt;/urls&gt;&lt;/record&gt;&lt;/Cite&gt;&lt;/EndNote&gt;</w:instrTex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F2E85">
              <w:rPr>
                <w:rFonts w:ascii="Times New Roman" w:hAnsi="Times New Roman" w:cs="Times New Roman"/>
                <w:noProof/>
                <w:sz w:val="20"/>
                <w:szCs w:val="20"/>
              </w:rPr>
              <w:t>(O'Mahony et al., 2012)</w: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6128B" w:rsidRPr="002571D3" w14:paraId="30CA88C7" w14:textId="77777777" w:rsidTr="009C6AEB">
        <w:trPr>
          <w:trHeight w:val="273"/>
        </w:trPr>
        <w:tc>
          <w:tcPr>
            <w:tcW w:w="2065" w:type="dxa"/>
            <w:vMerge w:val="restart"/>
          </w:tcPr>
          <w:p w14:paraId="35B25DA3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Healthy</w:t>
            </w:r>
            <w:r w:rsidRPr="00CF2E8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70" w:type="dxa"/>
            <w:gridSpan w:val="2"/>
            <w:vMerge w:val="restart"/>
          </w:tcPr>
          <w:p w14:paraId="16BEF6CE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Sudden Cardiac Death</w:t>
            </w:r>
            <w:r w:rsidRPr="00CF2E8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3600" w:type="dxa"/>
            <w:gridSpan w:val="3"/>
          </w:tcPr>
          <w:p w14:paraId="370F0657" w14:textId="609B1482" w:rsidR="00F45A3F" w:rsidRPr="00B21D0A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1D0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8 </w:t>
            </w:r>
            <w:r w:rsidR="0008664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of 10</w:t>
            </w:r>
            <w:r w:rsidR="00B172D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00</w:t>
            </w:r>
          </w:p>
        </w:tc>
        <w:tc>
          <w:tcPr>
            <w:tcW w:w="3150" w:type="dxa"/>
            <w:gridSpan w:val="4"/>
          </w:tcPr>
          <w:p w14:paraId="567318B6" w14:textId="77777777" w:rsidR="00F45A3F" w:rsidRPr="00B21D0A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1D0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0.0082(</w:t>
            </w:r>
            <w:r w:rsidRPr="00B21D0A">
              <w:rPr>
                <w:highlight w:val="yellow"/>
              </w:rPr>
              <w:t>0.008165628</w:t>
            </w:r>
            <w:r w:rsidRPr="00B21D0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558" w:type="dxa"/>
          </w:tcPr>
          <w:p w14:paraId="1887E78B" w14:textId="77777777" w:rsidR="00F45A3F" w:rsidRPr="00CF2E85" w:rsidRDefault="00F45A3F" w:rsidP="00EF43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ldData xml:space="preserve">PEVuZE5vdGU+PENpdGU+PEF1dGhvcj5PJmFwb3M7TWFob255PC9BdXRob3I+PFllYXI+MjAxMzwv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</w:fldData>
              </w:fldChar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</w:instrTex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ldData xml:space="preserve">PEVuZE5vdGU+PENpdGU+PEF1dGhvcj5PJmFwb3M7TWFob255PC9BdXRob3I+PFllYXI+MjAxMzwv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</w:fldData>
              </w:fldChar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EN.CITE.DATA </w:instrTex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F2E85">
              <w:rPr>
                <w:rFonts w:ascii="Times New Roman" w:hAnsi="Times New Roman" w:cs="Times New Roman"/>
                <w:noProof/>
                <w:sz w:val="20"/>
                <w:szCs w:val="20"/>
              </w:rPr>
              <w:t>(O'Mahony et al., 2013)</w: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6128B" w:rsidRPr="002571D3" w14:paraId="7CF5FF81" w14:textId="77777777" w:rsidTr="009C6AEB">
        <w:trPr>
          <w:trHeight w:val="273"/>
        </w:trPr>
        <w:tc>
          <w:tcPr>
            <w:tcW w:w="2065" w:type="dxa"/>
            <w:vMerge/>
          </w:tcPr>
          <w:p w14:paraId="64EE067E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vMerge/>
          </w:tcPr>
          <w:p w14:paraId="1A7C0590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gridSpan w:val="3"/>
          </w:tcPr>
          <w:p w14:paraId="22EE2D78" w14:textId="61CEACA1" w:rsidR="00F45A3F" w:rsidRPr="008D2A18" w:rsidRDefault="00B172DF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F45A3F" w:rsidRPr="008D2A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86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150" w:type="dxa"/>
            <w:gridSpan w:val="4"/>
          </w:tcPr>
          <w:p w14:paraId="26532B5D" w14:textId="77777777" w:rsidR="00F45A3F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0.25(</w:t>
            </w:r>
            <w:r w:rsidRPr="0029160C">
              <w:t>0.221179029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8" w:type="dxa"/>
          </w:tcPr>
          <w:p w14:paraId="5FB34F4C" w14:textId="77777777" w:rsidR="00F45A3F" w:rsidRPr="00CF2E85" w:rsidRDefault="00F45A3F" w:rsidP="00EF43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ldData xml:space="preserve">PEVuZE5vdGU+PENpdGU+PEF1dGhvcj5NYXJvbjwvQXV0aG9yPjxZZWFyPjIwMDc8L1llYXI+PFJl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=
</w:fldData>
              </w:fldChar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</w:instrTex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ldData xml:space="preserve">PEVuZE5vdGU+PENpdGU+PEF1dGhvcj5NYXJvbjwvQXV0aG9yPjxZZWFyPjIwMDc8L1llYXI+PFJl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=
</w:fldData>
              </w:fldChar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EN.CITE.DATA </w:instrTex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F2E85">
              <w:rPr>
                <w:rFonts w:ascii="Times New Roman" w:hAnsi="Times New Roman" w:cs="Times New Roman"/>
                <w:noProof/>
                <w:sz w:val="20"/>
                <w:szCs w:val="20"/>
              </w:rPr>
              <w:t>(Maron et al., 2007)</w: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6128B" w:rsidRPr="002571D3" w14:paraId="6CDFA9E3" w14:textId="77777777" w:rsidTr="009C6AEB">
        <w:trPr>
          <w:trHeight w:val="291"/>
        </w:trPr>
        <w:tc>
          <w:tcPr>
            <w:tcW w:w="2065" w:type="dxa"/>
            <w:vMerge w:val="restart"/>
          </w:tcPr>
          <w:p w14:paraId="04580375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Healthy</w:t>
            </w:r>
            <w:r w:rsidRPr="00CF2E8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70" w:type="dxa"/>
            <w:gridSpan w:val="2"/>
            <w:vMerge w:val="restart"/>
          </w:tcPr>
          <w:p w14:paraId="3F896244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Death All Causes</w:t>
            </w:r>
            <w:r w:rsidRPr="00CF2E8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3600" w:type="dxa"/>
            <w:gridSpan w:val="3"/>
          </w:tcPr>
          <w:p w14:paraId="148B9E7A" w14:textId="29A19F98" w:rsidR="00F45A3F" w:rsidRPr="002571D3" w:rsidRDefault="00B172D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086640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50" w:type="dxa"/>
            <w:gridSpan w:val="4"/>
          </w:tcPr>
          <w:p w14:paraId="4B4B64A5" w14:textId="77777777" w:rsidR="00F45A3F" w:rsidRPr="002571D3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1D3"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9160C">
              <w:t>0.007967262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8" w:type="dxa"/>
          </w:tcPr>
          <w:p w14:paraId="2660DBDE" w14:textId="77777777" w:rsidR="00F45A3F" w:rsidRPr="00CF2E85" w:rsidRDefault="00F45A3F" w:rsidP="00EF43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&lt;EndNote&gt;&lt;Cite&gt;&lt;Author&gt;Maron&lt;/Author&gt;&lt;Year&gt;2018&lt;/Year&gt;&lt;RecNum&gt;93&lt;/RecNum&gt;&lt;DisplayText&gt;(Maron et al., 2018)&lt;/DisplayText&gt;&lt;record&gt;&lt;rec-number&gt;93&lt;/rec-number&gt;&lt;foreign-keys&gt;&lt;key app="EN" db-id="eeasvwr5axspf8ev0x0pr2zpsrx99sdt5vsw" timestamp="1577794092"&gt;93&lt;/key&gt;&lt;/foreign-keys&gt;&lt;ref-type name="Journal Article"&gt;17&lt;/ref-type&gt;&lt;contributors&gt;&lt;authors&gt;&lt;author&gt;Maron, Barry J&lt;/author&gt;&lt;author&gt;Casey, Susan A&lt;/author&gt;&lt;author&gt;Olivotto, Iacopo&lt;/author&gt;&lt;author&gt;Sherrid, Mark V&lt;/author&gt;&lt;author&gt;Semsarian, Christopher&lt;/author&gt;&lt;author&gt;Autore, Camillo&lt;/author&gt;&lt;author&gt;Ahmed, Aisha&lt;/author&gt;&lt;author&gt;Boriani, Giuseppe&lt;/author&gt;&lt;author&gt;Francia, Pietro&lt;/author&gt;&lt;author&gt;Winters, Stephen L&lt;/author&gt;&lt;/authors&gt;&lt;/contributors&gt;&lt;titles&gt;&lt;title&gt;Clinical course and quality of life in high-risk patients with hypertrophic cardiomyopathy and implantable cardioverter-defibrillators&lt;/title&gt;&lt;secondary-title&gt;Circulation: Arrhythmia and Electrophysiology&lt;/secondary-title&gt;&lt;/titles&gt;&lt;periodical&gt;&lt;full-title&gt;Circulation: Arrhythmia and Electrophysiology&lt;/full-title&gt;&lt;/periodical&gt;&lt;pages&gt;e005820&lt;/pages&gt;&lt;volume&gt;11&lt;/volume&gt;&lt;number&gt;4&lt;/number&gt;&lt;dates&gt;&lt;year&gt;2018&lt;/year&gt;&lt;/dates&gt;&lt;isbn&gt;1941-3149&lt;/isbn&gt;&lt;urls&gt;&lt;/urls&gt;&lt;/record&gt;&lt;/Cite&gt;&lt;/EndNote&gt;</w:instrTex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F2E85">
              <w:rPr>
                <w:rFonts w:ascii="Times New Roman" w:hAnsi="Times New Roman" w:cs="Times New Roman"/>
                <w:noProof/>
                <w:sz w:val="20"/>
                <w:szCs w:val="20"/>
              </w:rPr>
              <w:t>(Maron et al., 2018)</w: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6128B" w:rsidRPr="002571D3" w14:paraId="41F210A6" w14:textId="77777777" w:rsidTr="009C6AEB">
        <w:trPr>
          <w:trHeight w:val="273"/>
        </w:trPr>
        <w:tc>
          <w:tcPr>
            <w:tcW w:w="2065" w:type="dxa"/>
            <w:vMerge/>
          </w:tcPr>
          <w:p w14:paraId="5B856C4A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vMerge/>
          </w:tcPr>
          <w:p w14:paraId="2898326B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gridSpan w:val="3"/>
          </w:tcPr>
          <w:p w14:paraId="71D2FD0C" w14:textId="13461867" w:rsidR="00F45A3F" w:rsidRPr="00B21D0A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B21D0A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4 </w:t>
            </w:r>
            <w:r w:rsidR="00086640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of 10</w:t>
            </w:r>
            <w:r w:rsidR="00B172D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</w:t>
            </w:r>
            <w:r w:rsidR="00086640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3150" w:type="dxa"/>
            <w:gridSpan w:val="4"/>
          </w:tcPr>
          <w:p w14:paraId="4642AED1" w14:textId="77777777" w:rsidR="00F45A3F" w:rsidRPr="00B21D0A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1D0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0.004(</w:t>
            </w:r>
            <w:r w:rsidRPr="00B21D0A">
              <w:rPr>
                <w:highlight w:val="yellow"/>
              </w:rPr>
              <w:t>0.003991598</w:t>
            </w:r>
            <w:r w:rsidRPr="00B21D0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558" w:type="dxa"/>
          </w:tcPr>
          <w:p w14:paraId="073972B4" w14:textId="77777777" w:rsidR="00F45A3F" w:rsidRPr="00CF2E85" w:rsidRDefault="00F45A3F" w:rsidP="00EF43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&lt;EndNote&gt;&lt;Cite&gt;&lt;Author&gt;Schinkel&lt;/Author&gt;&lt;Year&gt;2012&lt;/Year&gt;&lt;RecNum&gt;101&lt;/RecNum&gt;&lt;DisplayText&gt;(Schinkel et al., 2012)&lt;/DisplayText&gt;&lt;record&gt;&lt;rec-number&gt;101&lt;/rec-number&gt;&lt;foreign-keys&gt;&lt;key app="EN" db-id="eeasvwr5axspf8ev0x0pr2zpsrx99sdt5vsw" timestamp="1578190194"&gt;101&lt;/key&gt;&lt;/foreign-keys&gt;&lt;ref-type name="Journal Article"&gt;17&lt;/ref-type&gt;&lt;contributors&gt;&lt;authors&gt;&lt;author&gt;Schinkel, Arend FL&lt;/author&gt;&lt;author&gt;Vriesendorp, Pieter A&lt;/author&gt;&lt;author&gt;Sijbrands, Eric JG&lt;/author&gt;&lt;author&gt;Jordaens, Luc JLM&lt;/author&gt;&lt;author&gt;ten Cate, Folkert J&lt;/author&gt;&lt;author&gt;Michels, Michelle&lt;/author&gt;&lt;/authors&gt;&lt;/contributors&gt;&lt;titles&gt;&lt;title&gt;Outcome and complications after implantable cardioverter defibrillator therapy in hypertrophic cardiomyopathy: systematic review and meta-analysis&lt;/title&gt;&lt;secondary-title&gt;Circulation: Heart Failure&lt;/secondary-title&gt;&lt;/titles&gt;&lt;periodical&gt;&lt;full-title&gt;Circulation: Heart Failure&lt;/full-title&gt;&lt;/periodical&gt;&lt;pages&gt;552-559&lt;/pages&gt;&lt;volume&gt;5&lt;/volume&gt;&lt;number&gt;5&lt;/number&gt;&lt;dates&gt;&lt;year&gt;2012&lt;/year&gt;&lt;/dates&gt;&lt;isbn&gt;1941-3289&lt;/isbn&gt;&lt;urls&gt;&lt;/urls&gt;&lt;/record&gt;&lt;/Cite&gt;&lt;/EndNote&gt;</w:instrTex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F2E85">
              <w:rPr>
                <w:rFonts w:ascii="Times New Roman" w:hAnsi="Times New Roman" w:cs="Times New Roman"/>
                <w:noProof/>
                <w:sz w:val="20"/>
                <w:szCs w:val="20"/>
              </w:rPr>
              <w:t>(Schinkel et al., 2012)</w: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6128B" w:rsidRPr="002571D3" w14:paraId="1D99E7FC" w14:textId="77777777" w:rsidTr="009C6AEB">
        <w:trPr>
          <w:trHeight w:val="134"/>
        </w:trPr>
        <w:tc>
          <w:tcPr>
            <w:tcW w:w="2065" w:type="dxa"/>
          </w:tcPr>
          <w:p w14:paraId="7E757F0D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Stroke HCM Related</w:t>
            </w:r>
          </w:p>
        </w:tc>
        <w:tc>
          <w:tcPr>
            <w:tcW w:w="2070" w:type="dxa"/>
            <w:gridSpan w:val="2"/>
          </w:tcPr>
          <w:p w14:paraId="7C981240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Sudden Cardiac Death</w:t>
            </w:r>
          </w:p>
        </w:tc>
        <w:tc>
          <w:tcPr>
            <w:tcW w:w="3600" w:type="dxa"/>
            <w:gridSpan w:val="3"/>
          </w:tcPr>
          <w:p w14:paraId="71011D41" w14:textId="541907C7" w:rsidR="00F45A3F" w:rsidRPr="002571D3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86640">
              <w:rPr>
                <w:rFonts w:ascii="Times New Roman" w:hAnsi="Times New Roman" w:cs="Times New Roman"/>
                <w:sz w:val="24"/>
                <w:szCs w:val="24"/>
              </w:rPr>
              <w:t xml:space="preserve"> of 1</w:t>
            </w:r>
            <w:r w:rsidR="00B172D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3150" w:type="dxa"/>
            <w:gridSpan w:val="4"/>
          </w:tcPr>
          <w:p w14:paraId="7F922B04" w14:textId="31AA8022" w:rsidR="00F45A3F" w:rsidRPr="002571D3" w:rsidRDefault="00F45A3F" w:rsidP="00CF2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1D3">
              <w:rPr>
                <w:rFonts w:ascii="Times New Roman" w:hAnsi="Times New Roman" w:cs="Times New Roman"/>
                <w:sz w:val="24"/>
                <w:szCs w:val="24"/>
              </w:rPr>
              <w:t>0.0019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9160C">
              <w:t>0.001898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8" w:type="dxa"/>
          </w:tcPr>
          <w:p w14:paraId="25894146" w14:textId="77777777" w:rsidR="00F45A3F" w:rsidRPr="00CF2E85" w:rsidRDefault="00F45A3F" w:rsidP="00EF43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&lt;EndNote&gt;&lt;Cite&gt;&lt;Author&gt;Ågesen&lt;/Author&gt;&lt;Year&gt;2018&lt;/Year&gt;&lt;RecNum&gt;95&lt;/RecNum&gt;&lt;DisplayText&gt;(Ågesen et al., 2018)&lt;/DisplayText&gt;&lt;record&gt;&lt;rec-number&gt;95&lt;/rec-number&gt;&lt;foreign-keys&gt;&lt;key app="EN" db-id="eeasvwr5axspf8ev0x0pr2zpsrx99sdt5vsw" timestamp="1577794776"&gt;95&lt;/key&gt;&lt;/foreign-keys&gt;&lt;ref-type name="Journal Article"&gt;17&lt;/ref-type&gt;&lt;contributors&gt;&lt;authors&gt;&lt;author&gt;Ågesen, Frederik Nybye&lt;/author&gt;&lt;author&gt;Risgaard, Bjarke&lt;/author&gt;&lt;author&gt;Zachariasardottir, Sára&lt;/author&gt;&lt;author&gt;Jabbari, Reza&lt;/author&gt;&lt;author&gt;Lynge, Thomas Hadberg&lt;/author&gt;&lt;author&gt;Ingemann-Hansen, Ole&lt;/author&gt;&lt;author&gt;Ottesen, Gyda Lolk&lt;/author&gt;&lt;author&gt;Thomsen, Jørgen Lange&lt;/author&gt;&lt;author&gt;Haunsø, Stig&lt;/author&gt;&lt;author&gt;Krieger, Derk Wolfgang&lt;/author&gt;&lt;/authors&gt;&lt;/contributors&gt;&lt;titles&gt;&lt;title&gt;Sudden unexpected death caused by stroke: A nationwide study among children and young adults in Denmark&lt;/title&gt;&lt;secondary-title&gt;International Journal of Stroke&lt;/secondary-title&gt;&lt;/titles&gt;&lt;periodical&gt;&lt;full-title&gt;International Journal of Stroke&lt;/full-title&gt;&lt;/periodical&gt;&lt;pages&gt;285-291&lt;/pages&gt;&lt;volume&gt;13&lt;/volume&gt;&lt;number&gt;3&lt;/number&gt;&lt;dates&gt;&lt;year&gt;2018&lt;/year&gt;&lt;/dates&gt;&lt;isbn&gt;1747-4930&lt;/isbn&gt;&lt;urls&gt;&lt;related-urls&gt;&lt;url&gt;https://journals.sagepub.com/doi/pdf/10.1177/1747493017724625&lt;/url&gt;&lt;/related-urls&gt;&lt;/urls&gt;&lt;/record&gt;&lt;/Cite&gt;&lt;/EndNote&gt;</w:instrTex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F2E85">
              <w:rPr>
                <w:rFonts w:ascii="Times New Roman" w:hAnsi="Times New Roman" w:cs="Times New Roman"/>
                <w:noProof/>
                <w:sz w:val="20"/>
                <w:szCs w:val="20"/>
              </w:rPr>
              <w:t>(Ågesen et al., 2018)</w: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6128B" w:rsidRPr="002571D3" w14:paraId="6367BAC0" w14:textId="77777777" w:rsidTr="009C6AEB">
        <w:trPr>
          <w:trHeight w:val="284"/>
        </w:trPr>
        <w:tc>
          <w:tcPr>
            <w:tcW w:w="2065" w:type="dxa"/>
          </w:tcPr>
          <w:p w14:paraId="346561F3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Stroke HCM Related</w:t>
            </w:r>
          </w:p>
        </w:tc>
        <w:tc>
          <w:tcPr>
            <w:tcW w:w="2070" w:type="dxa"/>
            <w:gridSpan w:val="2"/>
          </w:tcPr>
          <w:p w14:paraId="306B71FB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Death All Causes</w:t>
            </w:r>
          </w:p>
        </w:tc>
        <w:tc>
          <w:tcPr>
            <w:tcW w:w="3600" w:type="dxa"/>
            <w:gridSpan w:val="3"/>
          </w:tcPr>
          <w:p w14:paraId="250087B2" w14:textId="174865A8" w:rsidR="00F45A3F" w:rsidRPr="002571D3" w:rsidRDefault="00FD27E6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86640">
              <w:rPr>
                <w:rFonts w:ascii="Times New Roman" w:hAnsi="Times New Roman" w:cs="Times New Roman"/>
                <w:sz w:val="24"/>
                <w:szCs w:val="24"/>
              </w:rPr>
              <w:t xml:space="preserve"> of 10</w:t>
            </w:r>
          </w:p>
        </w:tc>
        <w:tc>
          <w:tcPr>
            <w:tcW w:w="3150" w:type="dxa"/>
            <w:gridSpan w:val="4"/>
          </w:tcPr>
          <w:p w14:paraId="20628584" w14:textId="77777777" w:rsidR="00F45A3F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0.52(</w:t>
            </w:r>
            <w:r w:rsidRPr="0029160C">
              <w:t>0.405447397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EA8E839" w14:textId="77777777" w:rsidR="00F45A3F" w:rsidRPr="002571D3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</w:tcPr>
          <w:p w14:paraId="30E1D9A7" w14:textId="77777777" w:rsidR="00F45A3F" w:rsidRPr="00CF2E85" w:rsidRDefault="00F45A3F" w:rsidP="00EF43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State of the Nation-Stroke Statistics Report,2018</w:t>
            </w:r>
          </w:p>
        </w:tc>
      </w:tr>
      <w:tr w:rsidR="00F45A3F" w:rsidRPr="002571D3" w14:paraId="79B70E6E" w14:textId="77777777" w:rsidTr="009C6AEB">
        <w:trPr>
          <w:trHeight w:val="284"/>
        </w:trPr>
        <w:tc>
          <w:tcPr>
            <w:tcW w:w="13443" w:type="dxa"/>
            <w:gridSpan w:val="11"/>
          </w:tcPr>
          <w:p w14:paraId="75027107" w14:textId="4F13AD50" w:rsidR="00F45A3F" w:rsidRPr="002571D3" w:rsidRDefault="00F45A3F" w:rsidP="009C6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Summary </w:t>
            </w:r>
            <w:r w:rsidRPr="00981D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 Observed Transitions</w:t>
            </w:r>
          </w:p>
        </w:tc>
      </w:tr>
      <w:tr w:rsidR="00C465E9" w:rsidRPr="002571D3" w14:paraId="2EF66DC0" w14:textId="33D24CFB" w:rsidTr="009C6AEB">
        <w:trPr>
          <w:trHeight w:val="284"/>
        </w:trPr>
        <w:tc>
          <w:tcPr>
            <w:tcW w:w="7735" w:type="dxa"/>
            <w:gridSpan w:val="6"/>
          </w:tcPr>
          <w:p w14:paraId="7992516C" w14:textId="77777777" w:rsidR="00C465E9" w:rsidRPr="00981DA1" w:rsidRDefault="00C465E9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Quo</w:t>
            </w:r>
          </w:p>
        </w:tc>
        <w:tc>
          <w:tcPr>
            <w:tcW w:w="5708" w:type="dxa"/>
            <w:gridSpan w:val="5"/>
          </w:tcPr>
          <w:p w14:paraId="25E017AC" w14:textId="05568FCF" w:rsidR="00C465E9" w:rsidRPr="00680B6C" w:rsidRDefault="00C465E9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0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 Strategy</w:t>
            </w:r>
          </w:p>
        </w:tc>
      </w:tr>
      <w:tr w:rsidR="00CF2E85" w:rsidRPr="002571D3" w14:paraId="70333D1A" w14:textId="77777777" w:rsidTr="009C6AEB">
        <w:trPr>
          <w:trHeight w:val="284"/>
        </w:trPr>
        <w:tc>
          <w:tcPr>
            <w:tcW w:w="2065" w:type="dxa"/>
          </w:tcPr>
          <w:p w14:paraId="3EDD31FF" w14:textId="77777777" w:rsidR="00C465E9" w:rsidRPr="002571D3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994" w:type="dxa"/>
          </w:tcPr>
          <w:p w14:paraId="46D3D5E8" w14:textId="7081D1AD" w:rsidR="00C465E9" w:rsidRPr="002571D3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1076" w:type="dxa"/>
          </w:tcPr>
          <w:p w14:paraId="122398E9" w14:textId="616B2573" w:rsidR="00C465E9" w:rsidRPr="002571D3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SHR</w:t>
            </w:r>
          </w:p>
        </w:tc>
        <w:tc>
          <w:tcPr>
            <w:tcW w:w="900" w:type="dxa"/>
          </w:tcPr>
          <w:p w14:paraId="47C2100E" w14:textId="3F1D95B2" w:rsidR="00C465E9" w:rsidRPr="008C4893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SCD</w:t>
            </w:r>
          </w:p>
        </w:tc>
        <w:tc>
          <w:tcPr>
            <w:tcW w:w="810" w:type="dxa"/>
          </w:tcPr>
          <w:p w14:paraId="1DD91BF4" w14:textId="569184EF" w:rsidR="00C465E9" w:rsidRPr="00362161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21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DAC</w:t>
            </w:r>
          </w:p>
        </w:tc>
        <w:tc>
          <w:tcPr>
            <w:tcW w:w="1890" w:type="dxa"/>
          </w:tcPr>
          <w:p w14:paraId="1067DDBD" w14:textId="2014184C" w:rsidR="00C465E9" w:rsidRPr="002571D3" w:rsidRDefault="00C465E9" w:rsidP="00C46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5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Transitions (n</w:t>
            </w:r>
            <w:r w:rsidRPr="00C465E9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s</w:t>
            </w:r>
            <w:r w:rsidRPr="00C465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), in State (s) at year j</w:t>
            </w:r>
          </w:p>
        </w:tc>
        <w:tc>
          <w:tcPr>
            <w:tcW w:w="670" w:type="dxa"/>
          </w:tcPr>
          <w:p w14:paraId="7AEEBCB4" w14:textId="2D74F747" w:rsidR="00C465E9" w:rsidRPr="00680B6C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769" w:type="dxa"/>
          </w:tcPr>
          <w:p w14:paraId="50D6C52B" w14:textId="7B3F315C" w:rsidR="00C465E9" w:rsidRPr="00680B6C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SHR</w:t>
            </w:r>
          </w:p>
        </w:tc>
        <w:tc>
          <w:tcPr>
            <w:tcW w:w="901" w:type="dxa"/>
          </w:tcPr>
          <w:p w14:paraId="2EE5A8E2" w14:textId="42559D11" w:rsidR="00C465E9" w:rsidRPr="008C4893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SCD</w:t>
            </w:r>
          </w:p>
        </w:tc>
        <w:tc>
          <w:tcPr>
            <w:tcW w:w="810" w:type="dxa"/>
          </w:tcPr>
          <w:p w14:paraId="2A43599A" w14:textId="69777EBF" w:rsidR="00C465E9" w:rsidRPr="00DB54DF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4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DAC</w:t>
            </w:r>
          </w:p>
        </w:tc>
        <w:tc>
          <w:tcPr>
            <w:tcW w:w="2558" w:type="dxa"/>
          </w:tcPr>
          <w:p w14:paraId="33CA3A81" w14:textId="20AB5F15" w:rsidR="00C465E9" w:rsidRPr="00680B6C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5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Transitions (ns), in State (s) at year j </w:t>
            </w:r>
          </w:p>
        </w:tc>
      </w:tr>
      <w:tr w:rsidR="00CF2E85" w:rsidRPr="002571D3" w14:paraId="4F94915A" w14:textId="77777777" w:rsidTr="009C6AEB">
        <w:trPr>
          <w:trHeight w:val="284"/>
        </w:trPr>
        <w:tc>
          <w:tcPr>
            <w:tcW w:w="2065" w:type="dxa"/>
          </w:tcPr>
          <w:p w14:paraId="78BC1144" w14:textId="1CFA7096" w:rsidR="00966743" w:rsidRPr="001806F3" w:rsidRDefault="00966743" w:rsidP="00EF4322">
            <w:pPr>
              <w:rPr>
                <w:rFonts w:ascii="Times New Roman" w:hAnsi="Times New Roman" w:cs="Times New Roman"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>Healthy</w:t>
            </w:r>
            <w:r w:rsidR="00AA586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806F3">
              <w:rPr>
                <w:rFonts w:ascii="Times New Roman" w:hAnsi="Times New Roman" w:cs="Times New Roman"/>
              </w:rPr>
              <w:t>(H)</w:t>
            </w:r>
          </w:p>
        </w:tc>
        <w:tc>
          <w:tcPr>
            <w:tcW w:w="994" w:type="dxa"/>
          </w:tcPr>
          <w:p w14:paraId="61EF6399" w14:textId="77777777" w:rsidR="00966743" w:rsidRPr="00260196" w:rsidRDefault="0096674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103</w:t>
            </w:r>
          </w:p>
        </w:tc>
        <w:tc>
          <w:tcPr>
            <w:tcW w:w="1076" w:type="dxa"/>
          </w:tcPr>
          <w:p w14:paraId="39AD1541" w14:textId="7B70AF02" w:rsidR="00966743" w:rsidRPr="00260196" w:rsidRDefault="008708FC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37CCD533" w14:textId="22ECE542" w:rsidR="00966743" w:rsidRPr="00260196" w:rsidRDefault="008C4893" w:rsidP="0096674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795951D6" w14:textId="497D20D3" w:rsidR="00966743" w:rsidRPr="00260196" w:rsidRDefault="008C4893" w:rsidP="0096674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14:paraId="4EE1AF75" w14:textId="3A1B2415" w:rsidR="00966743" w:rsidRPr="008D2A18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6674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70" w:type="dxa"/>
          </w:tcPr>
          <w:p w14:paraId="481BDF97" w14:textId="7E388293" w:rsidR="00966743" w:rsidRPr="00260196" w:rsidRDefault="008C4893" w:rsidP="0096674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103</w:t>
            </w:r>
          </w:p>
        </w:tc>
        <w:tc>
          <w:tcPr>
            <w:tcW w:w="769" w:type="dxa"/>
          </w:tcPr>
          <w:p w14:paraId="41F633C0" w14:textId="55185E77" w:rsidR="00966743" w:rsidRPr="00260196" w:rsidRDefault="008708FC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14:paraId="4426F546" w14:textId="78ED7A63" w:rsidR="00966743" w:rsidRPr="00260196" w:rsidRDefault="008708FC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2E17464" w14:textId="07E42C3A" w:rsidR="00966743" w:rsidRPr="00260196" w:rsidRDefault="008708FC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2558" w:type="dxa"/>
          </w:tcPr>
          <w:p w14:paraId="705D8A6E" w14:textId="3B6F85DE" w:rsidR="00966743" w:rsidRPr="006916B3" w:rsidRDefault="0096674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6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708F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CF2E85" w:rsidRPr="002571D3" w14:paraId="1ECE3FF0" w14:textId="77777777" w:rsidTr="009C6AEB">
        <w:trPr>
          <w:trHeight w:val="284"/>
        </w:trPr>
        <w:tc>
          <w:tcPr>
            <w:tcW w:w="2065" w:type="dxa"/>
          </w:tcPr>
          <w:p w14:paraId="1198F90C" w14:textId="1BD39881" w:rsidR="00966743" w:rsidRPr="001806F3" w:rsidRDefault="00966743" w:rsidP="00EF4322">
            <w:pPr>
              <w:rPr>
                <w:rFonts w:ascii="Times New Roman" w:hAnsi="Times New Roman" w:cs="Times New Roman"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 xml:space="preserve">Stroke HCM </w:t>
            </w:r>
            <w:r w:rsidR="00DB54DF" w:rsidRPr="001806F3">
              <w:rPr>
                <w:rFonts w:ascii="Times New Roman" w:hAnsi="Times New Roman" w:cs="Times New Roman"/>
                <w:b/>
                <w:bCs/>
              </w:rPr>
              <w:t>Related</w:t>
            </w:r>
            <w:r w:rsidR="00DB54DF" w:rsidRPr="001806F3">
              <w:rPr>
                <w:rFonts w:ascii="Times New Roman" w:hAnsi="Times New Roman" w:cs="Times New Roman"/>
              </w:rPr>
              <w:t xml:space="preserve"> (</w:t>
            </w:r>
            <w:r w:rsidRPr="001806F3">
              <w:rPr>
                <w:rFonts w:ascii="Times New Roman" w:hAnsi="Times New Roman" w:cs="Times New Roman"/>
              </w:rPr>
              <w:t>SHR)</w:t>
            </w:r>
          </w:p>
        </w:tc>
        <w:tc>
          <w:tcPr>
            <w:tcW w:w="994" w:type="dxa"/>
          </w:tcPr>
          <w:p w14:paraId="3497028C" w14:textId="6D53AED5" w:rsidR="00966743" w:rsidRPr="00260196" w:rsidRDefault="00DB54DF" w:rsidP="0096674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N/A</w:t>
            </w:r>
          </w:p>
        </w:tc>
        <w:tc>
          <w:tcPr>
            <w:tcW w:w="1076" w:type="dxa"/>
          </w:tcPr>
          <w:p w14:paraId="46AF0BFD" w14:textId="458C1DDA" w:rsidR="00966743" w:rsidRPr="00260196" w:rsidRDefault="00DB54DF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N/A</w:t>
            </w:r>
          </w:p>
        </w:tc>
        <w:tc>
          <w:tcPr>
            <w:tcW w:w="900" w:type="dxa"/>
          </w:tcPr>
          <w:p w14:paraId="20498FC0" w14:textId="57815275" w:rsidR="00966743" w:rsidRPr="00260196" w:rsidRDefault="00362161" w:rsidP="0096674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15FF7B39" w14:textId="76FE56F9" w:rsidR="00966743" w:rsidRPr="00260196" w:rsidRDefault="003C1F43" w:rsidP="0096674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14:paraId="0C93BDF6" w14:textId="76BAF1D1" w:rsidR="00966743" w:rsidRPr="008D2A18" w:rsidRDefault="00FD27E6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0" w:type="dxa"/>
          </w:tcPr>
          <w:p w14:paraId="411C78E4" w14:textId="3E671FA2" w:rsidR="00966743" w:rsidRPr="00260196" w:rsidRDefault="00DB54DF" w:rsidP="0096674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N/A</w:t>
            </w:r>
          </w:p>
        </w:tc>
        <w:tc>
          <w:tcPr>
            <w:tcW w:w="769" w:type="dxa"/>
          </w:tcPr>
          <w:p w14:paraId="442F7AC0" w14:textId="1535663E" w:rsidR="00966743" w:rsidRPr="00260196" w:rsidRDefault="00DB54DF" w:rsidP="0096674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N/A</w:t>
            </w:r>
          </w:p>
        </w:tc>
        <w:tc>
          <w:tcPr>
            <w:tcW w:w="901" w:type="dxa"/>
          </w:tcPr>
          <w:p w14:paraId="1B772D77" w14:textId="576EF35A" w:rsidR="00966743" w:rsidRPr="00260196" w:rsidRDefault="00362161" w:rsidP="0096674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40E16A5E" w14:textId="5262B0CB" w:rsidR="00966743" w:rsidRPr="00260196" w:rsidRDefault="003C1F4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2558" w:type="dxa"/>
          </w:tcPr>
          <w:p w14:paraId="7C5688E2" w14:textId="53787EE7" w:rsidR="00966743" w:rsidRPr="006916B3" w:rsidRDefault="00FD27E6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B54DF" w:rsidRPr="002571D3" w14:paraId="10A75B06" w14:textId="77777777" w:rsidTr="009C6AEB">
        <w:trPr>
          <w:trHeight w:val="284"/>
        </w:trPr>
        <w:tc>
          <w:tcPr>
            <w:tcW w:w="2065" w:type="dxa"/>
          </w:tcPr>
          <w:p w14:paraId="5C9883D3" w14:textId="2CC2BD53" w:rsidR="00DB54DF" w:rsidRPr="001806F3" w:rsidRDefault="00DB54DF" w:rsidP="00EF4322">
            <w:pPr>
              <w:rPr>
                <w:rFonts w:ascii="Times New Roman" w:hAnsi="Times New Roman" w:cs="Times New Roman"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>Transitions (</w:t>
            </w:r>
            <w:proofErr w:type="spellStart"/>
            <w:r w:rsidRPr="001806F3">
              <w:rPr>
                <w:rFonts w:ascii="Times New Roman" w:hAnsi="Times New Roman" w:cs="Times New Roman"/>
                <w:b/>
                <w:bCs/>
              </w:rPr>
              <w:t>y</w:t>
            </w:r>
            <w:r w:rsidRPr="001806F3">
              <w:rPr>
                <w:rFonts w:ascii="Times New Roman" w:hAnsi="Times New Roman" w:cs="Times New Roman"/>
                <w:b/>
                <w:bCs/>
                <w:vertAlign w:val="subscript"/>
              </w:rPr>
              <w:t>s</w:t>
            </w:r>
            <w:proofErr w:type="spellEnd"/>
            <w:r w:rsidRPr="001806F3">
              <w:rPr>
                <w:rFonts w:ascii="Times New Roman" w:hAnsi="Times New Roman" w:cs="Times New Roman"/>
                <w:b/>
                <w:bCs/>
              </w:rPr>
              <w:t>), to State (s) at year j</w:t>
            </w:r>
          </w:p>
        </w:tc>
        <w:tc>
          <w:tcPr>
            <w:tcW w:w="994" w:type="dxa"/>
          </w:tcPr>
          <w:p w14:paraId="62062F42" w14:textId="79792B7C" w:rsidR="00DB54DF" w:rsidRDefault="00DB54D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076" w:type="dxa"/>
          </w:tcPr>
          <w:p w14:paraId="67392E96" w14:textId="428B1BAF" w:rsidR="00DB54DF" w:rsidRDefault="003C1F4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224FEF9D" w14:textId="63180434" w:rsidR="00DB54DF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831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E18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</w:tcPr>
          <w:p w14:paraId="70F697FC" w14:textId="4EA96364" w:rsidR="00DB54DF" w:rsidRDefault="003C1F4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14:paraId="55CE9047" w14:textId="77777777" w:rsidR="00DB54DF" w:rsidRDefault="00DB54D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6FA81E71" w14:textId="357276A0" w:rsidR="00DB54DF" w:rsidRPr="006916B3" w:rsidRDefault="00CA5072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769" w:type="dxa"/>
          </w:tcPr>
          <w:p w14:paraId="70D8BD9C" w14:textId="04A808F0" w:rsidR="00DB54DF" w:rsidRPr="006916B3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14:paraId="421BAE3F" w14:textId="0BB7E72D" w:rsidR="00DB54DF" w:rsidRPr="006916B3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14:paraId="327F0540" w14:textId="5ECF22DA" w:rsidR="00DB54DF" w:rsidRPr="006916B3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D27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8" w:type="dxa"/>
          </w:tcPr>
          <w:p w14:paraId="1FA4CF09" w14:textId="5673C5FB" w:rsidR="00DB54DF" w:rsidRPr="006916B3" w:rsidRDefault="00DB54D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6F3" w:rsidRPr="002571D3" w14:paraId="4153D1CC" w14:textId="77777777" w:rsidTr="009C6AEB">
        <w:trPr>
          <w:trHeight w:val="284"/>
        </w:trPr>
        <w:tc>
          <w:tcPr>
            <w:tcW w:w="13443" w:type="dxa"/>
            <w:gridSpan w:val="11"/>
          </w:tcPr>
          <w:p w14:paraId="1E6C71BB" w14:textId="71021116" w:rsidR="001806F3" w:rsidRPr="006916B3" w:rsidRDefault="001806F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 Properties of the Beta Prior Distribution</w:t>
            </w:r>
          </w:p>
        </w:tc>
      </w:tr>
      <w:tr w:rsidR="00F337DE" w:rsidRPr="002571D3" w14:paraId="307FBB89" w14:textId="77777777" w:rsidTr="009C6AEB">
        <w:trPr>
          <w:trHeight w:val="284"/>
        </w:trPr>
        <w:tc>
          <w:tcPr>
            <w:tcW w:w="2065" w:type="dxa"/>
          </w:tcPr>
          <w:p w14:paraId="5A5F6A8C" w14:textId="77777777" w:rsidR="00F337DE" w:rsidRPr="00362161" w:rsidRDefault="00F337DE" w:rsidP="00EF43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0" w:type="dxa"/>
            <w:gridSpan w:val="5"/>
          </w:tcPr>
          <w:p w14:paraId="735C59B4" w14:textId="1B7F40FE" w:rsidR="00F337DE" w:rsidRPr="00F337DE" w:rsidRDefault="00F337DE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7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Eta/Tau</w:t>
            </w:r>
          </w:p>
        </w:tc>
        <w:tc>
          <w:tcPr>
            <w:tcW w:w="5708" w:type="dxa"/>
            <w:gridSpan w:val="5"/>
          </w:tcPr>
          <w:p w14:paraId="608A30D1" w14:textId="78B0D753" w:rsidR="00F337DE" w:rsidRPr="00F337DE" w:rsidRDefault="00F337DE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7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Eta/Tau</w:t>
            </w:r>
          </w:p>
        </w:tc>
      </w:tr>
      <w:tr w:rsidR="001806F3" w:rsidRPr="002571D3" w14:paraId="7DE2AA0F" w14:textId="77777777" w:rsidTr="009C6AEB">
        <w:trPr>
          <w:trHeight w:val="284"/>
        </w:trPr>
        <w:tc>
          <w:tcPr>
            <w:tcW w:w="2065" w:type="dxa"/>
          </w:tcPr>
          <w:p w14:paraId="7C4BAEC3" w14:textId="6B8B1309" w:rsidR="001806F3" w:rsidRPr="00362161" w:rsidRDefault="001806F3" w:rsidP="001806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C33">
              <w:t>Healthy</w:t>
            </w:r>
            <w:r w:rsidR="0046294F">
              <w:t xml:space="preserve"> </w:t>
            </w:r>
            <w:r w:rsidRPr="008A0C33">
              <w:t>(H)</w:t>
            </w:r>
          </w:p>
        </w:tc>
        <w:tc>
          <w:tcPr>
            <w:tcW w:w="994" w:type="dxa"/>
          </w:tcPr>
          <w:p w14:paraId="7E7C5C02" w14:textId="24020C43" w:rsidR="001806F3" w:rsidRDefault="001806F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76" w:type="dxa"/>
          </w:tcPr>
          <w:p w14:paraId="03E2AB98" w14:textId="0AD4E112" w:rsidR="001806F3" w:rsidRDefault="003C1F4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8680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996</w:t>
            </w:r>
          </w:p>
        </w:tc>
        <w:tc>
          <w:tcPr>
            <w:tcW w:w="900" w:type="dxa"/>
          </w:tcPr>
          <w:p w14:paraId="44C61D56" w14:textId="0EAED6D9" w:rsidR="00886808" w:rsidRDefault="00886808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C1F43">
              <w:rPr>
                <w:rFonts w:ascii="Times New Roman" w:hAnsi="Times New Roman" w:cs="Times New Roman"/>
                <w:sz w:val="24"/>
                <w:szCs w:val="24"/>
              </w:rPr>
              <w:t>992</w:t>
            </w:r>
          </w:p>
          <w:p w14:paraId="29DDAB3B" w14:textId="710DBCE7" w:rsidR="001806F3" w:rsidRDefault="001806F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7AEB35D1" w14:textId="5356E358" w:rsidR="001806F3" w:rsidRDefault="00886808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</w:t>
            </w:r>
          </w:p>
          <w:p w14:paraId="37FEB513" w14:textId="0E55CCDF" w:rsidR="00886808" w:rsidRDefault="003C1F4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996</w:t>
            </w:r>
          </w:p>
        </w:tc>
        <w:tc>
          <w:tcPr>
            <w:tcW w:w="1890" w:type="dxa"/>
          </w:tcPr>
          <w:p w14:paraId="41756E0C" w14:textId="77777777" w:rsidR="001806F3" w:rsidRDefault="001806F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510B9B86" w14:textId="134588C0" w:rsidR="001806F3" w:rsidRDefault="00F337DE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769" w:type="dxa"/>
          </w:tcPr>
          <w:p w14:paraId="455A435D" w14:textId="68F28A58" w:rsidR="001806F3" w:rsidRDefault="00FD27E6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337D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997</w:t>
            </w:r>
          </w:p>
        </w:tc>
        <w:tc>
          <w:tcPr>
            <w:tcW w:w="901" w:type="dxa"/>
          </w:tcPr>
          <w:p w14:paraId="32D71EE7" w14:textId="3F2CD45B" w:rsidR="001806F3" w:rsidRDefault="00FD27E6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337D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14:paraId="01C94EC7" w14:textId="43D74A4D" w:rsidR="001806F3" w:rsidRDefault="00E43D7A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F337DE">
              <w:rPr>
                <w:rFonts w:ascii="Times New Roman" w:hAnsi="Times New Roman" w:cs="Times New Roman"/>
                <w:sz w:val="24"/>
                <w:szCs w:val="24"/>
              </w:rPr>
              <w:t>/9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2558" w:type="dxa"/>
          </w:tcPr>
          <w:p w14:paraId="22DFC704" w14:textId="77777777" w:rsidR="001806F3" w:rsidRPr="006916B3" w:rsidRDefault="001806F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6F3" w:rsidRPr="002571D3" w14:paraId="735CE610" w14:textId="77777777" w:rsidTr="009C6AEB">
        <w:trPr>
          <w:trHeight w:val="284"/>
        </w:trPr>
        <w:tc>
          <w:tcPr>
            <w:tcW w:w="2065" w:type="dxa"/>
          </w:tcPr>
          <w:p w14:paraId="46C4C0C5" w14:textId="453397A9" w:rsidR="001806F3" w:rsidRPr="00362161" w:rsidRDefault="001806F3" w:rsidP="001806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C33">
              <w:t>Stroke HCM Related (SHR)</w:t>
            </w:r>
          </w:p>
        </w:tc>
        <w:tc>
          <w:tcPr>
            <w:tcW w:w="994" w:type="dxa"/>
          </w:tcPr>
          <w:p w14:paraId="05243297" w14:textId="6D839A32" w:rsidR="001806F3" w:rsidRDefault="00886808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76" w:type="dxa"/>
          </w:tcPr>
          <w:p w14:paraId="58B58958" w14:textId="6F89EC0E" w:rsidR="001806F3" w:rsidRDefault="00886808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00" w:type="dxa"/>
          </w:tcPr>
          <w:p w14:paraId="7AB4A0B5" w14:textId="3714D032" w:rsidR="001806F3" w:rsidRDefault="00886808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</w:t>
            </w:r>
          </w:p>
          <w:p w14:paraId="4762E18A" w14:textId="3B0440CC" w:rsidR="00886808" w:rsidRDefault="003C1F4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998</w:t>
            </w:r>
          </w:p>
        </w:tc>
        <w:tc>
          <w:tcPr>
            <w:tcW w:w="810" w:type="dxa"/>
          </w:tcPr>
          <w:p w14:paraId="37734C8A" w14:textId="31FFA2D0" w:rsidR="001806F3" w:rsidRDefault="003C1F4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6/4</w:t>
            </w:r>
          </w:p>
        </w:tc>
        <w:tc>
          <w:tcPr>
            <w:tcW w:w="1890" w:type="dxa"/>
          </w:tcPr>
          <w:p w14:paraId="5D4C2911" w14:textId="77777777" w:rsidR="001806F3" w:rsidRDefault="001806F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4DD05056" w14:textId="7D6022EF" w:rsidR="001806F3" w:rsidRDefault="00F337DE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769" w:type="dxa"/>
          </w:tcPr>
          <w:p w14:paraId="4BA6C0F1" w14:textId="6FB2B5AC" w:rsidR="001806F3" w:rsidRDefault="00F337DE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01" w:type="dxa"/>
          </w:tcPr>
          <w:p w14:paraId="0FCC344D" w14:textId="4F708CF0" w:rsidR="00F337DE" w:rsidRDefault="00F337DE" w:rsidP="00F337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</w:t>
            </w:r>
          </w:p>
          <w:p w14:paraId="5744C540" w14:textId="64AB3583" w:rsidR="001806F3" w:rsidRDefault="00FD27E6" w:rsidP="00F337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998</w:t>
            </w:r>
          </w:p>
        </w:tc>
        <w:tc>
          <w:tcPr>
            <w:tcW w:w="810" w:type="dxa"/>
          </w:tcPr>
          <w:p w14:paraId="04501114" w14:textId="1F78E7C1" w:rsidR="001806F3" w:rsidRDefault="00E43D7A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337DE">
              <w:rPr>
                <w:rFonts w:ascii="Times New Roman" w:hAnsi="Times New Roman" w:cs="Times New Roman"/>
                <w:sz w:val="24"/>
                <w:szCs w:val="24"/>
              </w:rPr>
              <w:t>/4</w:t>
            </w:r>
          </w:p>
        </w:tc>
        <w:tc>
          <w:tcPr>
            <w:tcW w:w="2558" w:type="dxa"/>
          </w:tcPr>
          <w:p w14:paraId="0EABE42A" w14:textId="77777777" w:rsidR="001806F3" w:rsidRPr="006916B3" w:rsidRDefault="001806F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A3F" w:rsidRPr="002571D3" w14:paraId="46E5D16D" w14:textId="77777777" w:rsidTr="009C6AEB">
        <w:trPr>
          <w:trHeight w:val="630"/>
        </w:trPr>
        <w:tc>
          <w:tcPr>
            <w:tcW w:w="13443" w:type="dxa"/>
            <w:gridSpan w:val="11"/>
          </w:tcPr>
          <w:p w14:paraId="5B5811DF" w14:textId="3C7012C6" w:rsidR="00F45A3F" w:rsidRPr="00362161" w:rsidRDefault="00F45A3F" w:rsidP="003621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</w:t>
            </w:r>
            <w:r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Highlighted cells relate to expected observations under </w:t>
            </w:r>
            <w:r w:rsidRPr="00D937B8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status quo</w:t>
            </w:r>
            <w:r w:rsidRPr="00362161">
              <w:rPr>
                <w:rFonts w:ascii="Times New Roman" w:hAnsi="Times New Roman" w:cs="Times New Roman"/>
                <w:sz w:val="20"/>
                <w:szCs w:val="20"/>
              </w:rPr>
              <w:t>, whereas not highlighted relate to expected observations under the new strategy: ICD implants under status quo are expected to lead to a less stable condition of health according to epidemiological evidence</w:t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&lt;EndNote&gt;&lt;Cite&gt;&lt;Author&gt;O&amp;apos;Mahony&lt;/Author&gt;&lt;Year&gt;2012&lt;/Year&gt;&lt;RecNum&gt;94&lt;/RecNum&gt;&lt;DisplayText&gt;(O&amp;apos;Mahony et al., 2012)&lt;/DisplayText&gt;&lt;record&gt;&lt;rec-number&gt;94&lt;/rec-number&gt;&lt;foreign-keys&gt;&lt;key app="EN" db-id="eeasvwr5axspf8ev0x0pr2zpsrx99sdt5vsw" timestamp="1577794419"&gt;94&lt;/key&gt;&lt;/foreign-keys&gt;&lt;ref-type name="Journal Article"&gt;17&lt;/ref-type&gt;&lt;contributors&gt;&lt;authors&gt;&lt;author&gt;O&amp;apos;Mahony, Constantinos&lt;/author&gt;&lt;author&gt;Lambiase, Pier D&lt;/author&gt;&lt;author&gt;Quarta, Giovanni&lt;/author&gt;&lt;author&gt;Cardona, Montserrat&lt;/author&gt;&lt;author&gt;Calcagnino, Margherita&lt;/author&gt;&lt;author&gt;Tsovolas, Konstantinos&lt;/author&gt;&lt;author&gt;Al-Shaikh, Shereen&lt;/author&gt;&lt;author&gt;Rahman, Shafiqur M&lt;/author&gt;&lt;author&gt;Arnous, Samer&lt;/author&gt;&lt;author&gt;Jones, Sue&lt;/author&gt;&lt;/authors&gt;&lt;/contributors&gt;&lt;titles&gt;&lt;title&gt;The long-term survival and the risks and benefits of implantable cardioverter defibrillators in patients with hypertrophic cardiomyopathy&lt;/title&gt;&lt;secondary-title&gt;Heart&lt;/secondary-title&gt;&lt;/titles&gt;&lt;periodical&gt;&lt;full-title&gt;Heart&lt;/full-title&gt;&lt;/periodical&gt;&lt;pages&gt;116-125&lt;/pages&gt;&lt;volume&gt;98&lt;/volume&gt;&lt;number&gt;2&lt;/number&gt;&lt;dates&gt;&lt;year&gt;2012&lt;/year&gt;&lt;/dates&gt;&lt;isbn&gt;1355-6037&lt;/isbn&gt;&lt;urls&gt;&lt;/urls&gt;&lt;/record&gt;&lt;/Cite&gt;&lt;/EndNote&gt;</w:instrText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4870A0" w:rsidRPr="00362161">
              <w:rPr>
                <w:rFonts w:ascii="Times New Roman" w:hAnsi="Times New Roman" w:cs="Times New Roman"/>
                <w:noProof/>
                <w:sz w:val="20"/>
                <w:szCs w:val="20"/>
              </w:rPr>
              <w:t>(O'Mahony et al., 2012)</w:t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, hence a lot more transitions are expected </w:t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under the status quo </w:t>
            </w:r>
            <w:r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compared to the new strategy. All other cells describe observed transitions common to </w:t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the two </w:t>
            </w:r>
            <w:r w:rsidRPr="00362161">
              <w:rPr>
                <w:rFonts w:ascii="Times New Roman" w:hAnsi="Times New Roman" w:cs="Times New Roman"/>
                <w:sz w:val="20"/>
                <w:szCs w:val="20"/>
              </w:rPr>
              <w:t>strategies under study</w:t>
            </w:r>
          </w:p>
          <w:p w14:paraId="5CB28003" w14:textId="50440775" w:rsidR="00F45A3F" w:rsidRPr="00B21D0A" w:rsidRDefault="00F45A3F" w:rsidP="003621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161">
              <w:rPr>
                <w:rFonts w:ascii="Times New Roman" w:hAnsi="Times New Roman" w:cs="Times New Roman"/>
                <w:sz w:val="20"/>
                <w:szCs w:val="20"/>
              </w:rPr>
              <w:t>N/A is ‘Not Applicable</w:t>
            </w:r>
            <w:proofErr w:type="gramStart"/>
            <w:r w:rsidRPr="00362161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362161"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2161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proofErr w:type="gramEnd"/>
            <w:r w:rsidR="0036216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62161" w:rsidRPr="0096128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Death All Causes</w:t>
            </w:r>
            <w:r w:rsidR="00362161">
              <w:rPr>
                <w:rFonts w:ascii="Times New Roman" w:hAnsi="Times New Roman" w:cs="Times New Roman"/>
                <w:sz w:val="24"/>
                <w:szCs w:val="24"/>
              </w:rPr>
              <w:t xml:space="preserve"> (DAC), </w:t>
            </w:r>
            <w:r w:rsidR="00362161" w:rsidRPr="0096128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Sudden Cardiac Death</w:t>
            </w:r>
            <w:r w:rsidR="00362161">
              <w:rPr>
                <w:rFonts w:ascii="Times New Roman" w:hAnsi="Times New Roman" w:cs="Times New Roman"/>
                <w:sz w:val="24"/>
                <w:szCs w:val="24"/>
              </w:rPr>
              <w:t>(SCD)</w:t>
            </w:r>
          </w:p>
        </w:tc>
      </w:tr>
    </w:tbl>
    <w:p w14:paraId="4DA289C7" w14:textId="3D247BD5" w:rsidR="003928D6" w:rsidRPr="00855990" w:rsidRDefault="003928D6" w:rsidP="009C6AEB">
      <w:pPr>
        <w:rPr>
          <w:rFonts w:ascii="Times New Roman" w:hAnsi="Times New Roman" w:cs="Times New Roman"/>
          <w:color w:val="000000"/>
        </w:rPr>
      </w:pPr>
      <w:r w:rsidRPr="00855990">
        <w:rPr>
          <w:rFonts w:ascii="Times New Roman" w:hAnsi="Times New Roman" w:cs="Times New Roman"/>
          <w:color w:val="000000"/>
        </w:rPr>
        <w:lastRenderedPageBreak/>
        <w:t>The prognostic model was derived using data</w:t>
      </w:r>
      <w:r w:rsidR="00855990" w:rsidRPr="00855990">
        <w:rPr>
          <w:rFonts w:ascii="Times New Roman" w:hAnsi="Times New Roman" w:cs="Times New Roman"/>
          <w:color w:val="000000"/>
        </w:rPr>
        <w:t xml:space="preserve"> </w:t>
      </w:r>
      <w:r w:rsidRPr="00855990">
        <w:rPr>
          <w:rFonts w:ascii="Times New Roman" w:hAnsi="Times New Roman" w:cs="Times New Roman"/>
          <w:color w:val="000000"/>
        </w:rPr>
        <w:t>from</w:t>
      </w:r>
      <w:r w:rsidR="00855990" w:rsidRPr="00855990">
        <w:rPr>
          <w:rFonts w:ascii="Times New Roman" w:hAnsi="Times New Roman" w:cs="Times New Roman"/>
          <w:color w:val="000000"/>
        </w:rPr>
        <w:t xml:space="preserve"> </w:t>
      </w:r>
      <w:r w:rsidRPr="00855990">
        <w:rPr>
          <w:rFonts w:ascii="Times New Roman" w:hAnsi="Times New Roman" w:cs="Times New Roman"/>
          <w:color w:val="000000"/>
        </w:rPr>
        <w:t xml:space="preserve">a retrospective, </w:t>
      </w:r>
      <w:r w:rsidR="00855990" w:rsidRPr="00855990">
        <w:rPr>
          <w:rFonts w:ascii="Times New Roman" w:hAnsi="Times New Roman" w:cs="Times New Roman"/>
          <w:color w:val="000000"/>
        </w:rPr>
        <w:t>multicenter</w:t>
      </w:r>
      <w:r w:rsidRPr="00855990">
        <w:rPr>
          <w:rFonts w:ascii="Times New Roman" w:hAnsi="Times New Roman" w:cs="Times New Roman"/>
          <w:color w:val="000000"/>
        </w:rPr>
        <w:t xml:space="preserve"> longitudinal cohort study. The model presented in this article was</w:t>
      </w:r>
      <w:r w:rsidRPr="00855990">
        <w:rPr>
          <w:rFonts w:ascii="Times New Roman" w:hAnsi="Times New Roman" w:cs="Times New Roman"/>
          <w:color w:val="000000"/>
        </w:rPr>
        <w:br/>
        <w:t>developed using the entire data set,</w:t>
      </w:r>
    </w:p>
    <w:p w14:paraId="706A3F85" w14:textId="77777777" w:rsidR="00855990" w:rsidRDefault="003928D6" w:rsidP="009C6AEB">
      <w:pPr>
        <w:rPr>
          <w:rFonts w:ascii="Times New Roman" w:hAnsi="Times New Roman" w:cs="Times New Roman"/>
          <w:color w:val="000000"/>
        </w:rPr>
      </w:pPr>
      <w:r w:rsidRPr="00855990">
        <w:rPr>
          <w:rFonts w:ascii="Times New Roman" w:hAnsi="Times New Roman" w:cs="Times New Roman"/>
          <w:color w:val="000000"/>
        </w:rPr>
        <w:t>The study cohort consisted of all consecutively evaluated patients with</w:t>
      </w:r>
      <w:r w:rsidRPr="00855990">
        <w:rPr>
          <w:rFonts w:ascii="Times New Roman" w:hAnsi="Times New Roman" w:cs="Times New Roman"/>
          <w:color w:val="000000"/>
        </w:rPr>
        <w:br/>
        <w:t xml:space="preserve">HCM, followed up at six participating European </w:t>
      </w:r>
      <w:r w:rsidR="00855990" w:rsidRPr="00855990">
        <w:rPr>
          <w:rFonts w:ascii="Times New Roman" w:hAnsi="Times New Roman" w:cs="Times New Roman"/>
          <w:color w:val="000000"/>
        </w:rPr>
        <w:t>centers</w:t>
      </w:r>
      <w:r w:rsidRPr="00855990">
        <w:rPr>
          <w:rFonts w:ascii="Times New Roman" w:hAnsi="Times New Roman" w:cs="Times New Roman"/>
          <w:color w:val="000000"/>
        </w:rPr>
        <w:t xml:space="preserve">: </w:t>
      </w:r>
    </w:p>
    <w:p w14:paraId="6B6E754D" w14:textId="492AC52E" w:rsidR="003928D6" w:rsidRPr="00855990" w:rsidRDefault="003928D6" w:rsidP="009C6AEB">
      <w:pPr>
        <w:rPr>
          <w:rFonts w:ascii="Times New Roman" w:hAnsi="Times New Roman" w:cs="Times New Roman"/>
          <w:color w:val="000000"/>
        </w:rPr>
      </w:pPr>
      <w:r w:rsidRPr="00855990">
        <w:rPr>
          <w:rFonts w:ascii="Times New Roman" w:hAnsi="Times New Roman" w:cs="Times New Roman"/>
          <w:color w:val="000000"/>
        </w:rPr>
        <w:t>(</w:t>
      </w:r>
      <w:proofErr w:type="spellStart"/>
      <w:r w:rsidRPr="00855990">
        <w:rPr>
          <w:rFonts w:ascii="Times New Roman" w:hAnsi="Times New Roman" w:cs="Times New Roman"/>
          <w:color w:val="000000"/>
        </w:rPr>
        <w:t>i</w:t>
      </w:r>
      <w:proofErr w:type="spellEnd"/>
      <w:r w:rsidRPr="00855990">
        <w:rPr>
          <w:rFonts w:ascii="Times New Roman" w:hAnsi="Times New Roman" w:cs="Times New Roman"/>
          <w:color w:val="000000"/>
        </w:rPr>
        <w:t>) The Hear</w:t>
      </w:r>
      <w:r w:rsidR="00855990">
        <w:rPr>
          <w:rFonts w:ascii="Times New Roman" w:hAnsi="Times New Roman" w:cs="Times New Roman"/>
          <w:color w:val="000000"/>
        </w:rPr>
        <w:t xml:space="preserve"> </w:t>
      </w:r>
      <w:r w:rsidRPr="00855990">
        <w:rPr>
          <w:rFonts w:ascii="Times New Roman" w:hAnsi="Times New Roman" w:cs="Times New Roman"/>
          <w:color w:val="000000"/>
        </w:rPr>
        <w:t>Hospital, London, UK</w:t>
      </w:r>
    </w:p>
    <w:p w14:paraId="44F3A1FE" w14:textId="77777777" w:rsidR="00E1672F" w:rsidRDefault="003928D6" w:rsidP="009C6AEB">
      <w:pPr>
        <w:rPr>
          <w:rFonts w:ascii="Times New Roman" w:hAnsi="Times New Roman" w:cs="Times New Roman"/>
          <w:color w:val="000000"/>
        </w:rPr>
      </w:pPr>
      <w:r w:rsidRPr="00855990">
        <w:rPr>
          <w:rFonts w:ascii="Times New Roman" w:hAnsi="Times New Roman" w:cs="Times New Roman"/>
          <w:color w:val="000000"/>
        </w:rPr>
        <w:t>The study population was all successively evaluated patients</w:t>
      </w:r>
      <w:r w:rsidR="00C02669" w:rsidRPr="00855990">
        <w:rPr>
          <w:rFonts w:ascii="Times New Roman" w:hAnsi="Times New Roman" w:cs="Times New Roman"/>
          <w:color w:val="000000"/>
        </w:rPr>
        <w:t xml:space="preserve"> (N=)</w:t>
      </w:r>
      <w:r w:rsidRPr="00855990">
        <w:rPr>
          <w:rFonts w:ascii="Times New Roman" w:hAnsi="Times New Roman" w:cs="Times New Roman"/>
          <w:color w:val="000000"/>
        </w:rPr>
        <w:t xml:space="preserve"> with HCM, followed-up at the Heart Hospital London in the United Kingdom, one of the participating </w:t>
      </w:r>
      <w:r w:rsidR="00855990" w:rsidRPr="00855990">
        <w:rPr>
          <w:rFonts w:ascii="Times New Roman" w:hAnsi="Times New Roman" w:cs="Times New Roman"/>
          <w:color w:val="000000"/>
        </w:rPr>
        <w:t>centers</w:t>
      </w:r>
      <w:r w:rsidRPr="00855990">
        <w:rPr>
          <w:rFonts w:ascii="Times New Roman" w:hAnsi="Times New Roman" w:cs="Times New Roman"/>
          <w:color w:val="000000"/>
        </w:rPr>
        <w:t xml:space="preserve"> of the retrospective, multicenter longitu</w:t>
      </w:r>
      <w:r w:rsidR="00C02669" w:rsidRPr="00855990">
        <w:rPr>
          <w:rFonts w:ascii="Times New Roman" w:hAnsi="Times New Roman" w:cs="Times New Roman"/>
          <w:color w:val="000000"/>
        </w:rPr>
        <w:t>dinal cohort study</w:t>
      </w:r>
    </w:p>
    <w:p w14:paraId="607E0B96" w14:textId="77777777" w:rsidR="004870A0" w:rsidRPr="004870A0" w:rsidRDefault="00E1672F" w:rsidP="009C6AEB">
      <w:pPr>
        <w:pStyle w:val="EndNoteBibliography"/>
        <w:spacing w:after="0"/>
        <w:ind w:left="720" w:hanging="720"/>
        <w:jc w:val="left"/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9C6AEB">
        <w:rPr>
          <w:rFonts w:ascii="Times New Roman" w:hAnsi="Times New Roman" w:cs="Times New Roman"/>
          <w:sz w:val="28"/>
          <w:szCs w:val="28"/>
        </w:rPr>
        <w:instrText xml:space="preserve"> ADDIN EN.REFLIST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870A0" w:rsidRPr="004870A0">
        <w:t xml:space="preserve">ÅGESEN, F. N., RISGAARD, B., ZACHARIASARDOTTIR, S., JABBARI, R., LYNGE, T. H., INGEMANN-HANSEN, O., OTTESEN, G. L., THOMSEN, J. L., HAUNSØ, S. &amp; KRIEGER, D. W. 2018. Sudden unexpected death caused by stroke: A nationwide study among children and young adults in Denmark. </w:t>
      </w:r>
      <w:r w:rsidR="004870A0" w:rsidRPr="004870A0">
        <w:rPr>
          <w:i/>
        </w:rPr>
        <w:t>International Journal of Stroke,</w:t>
      </w:r>
      <w:r w:rsidR="004870A0" w:rsidRPr="004870A0">
        <w:t xml:space="preserve"> 13</w:t>
      </w:r>
      <w:r w:rsidR="004870A0" w:rsidRPr="004870A0">
        <w:rPr>
          <w:b/>
        </w:rPr>
        <w:t>,</w:t>
      </w:r>
      <w:r w:rsidR="004870A0" w:rsidRPr="004870A0">
        <w:t xml:space="preserve"> 285-291.</w:t>
      </w:r>
    </w:p>
    <w:p w14:paraId="127135BC" w14:textId="77777777" w:rsidR="004870A0" w:rsidRPr="004870A0" w:rsidRDefault="004870A0" w:rsidP="009C6AEB">
      <w:pPr>
        <w:pStyle w:val="EndNoteBibliography"/>
        <w:spacing w:after="0"/>
        <w:ind w:left="720" w:hanging="720"/>
        <w:jc w:val="left"/>
      </w:pPr>
      <w:r w:rsidRPr="004870A0">
        <w:t xml:space="preserve">MARON, B. J., CASEY, S. A., OLIVOTTO, I., SHERRID, M. V., SEMSARIAN, C., AUTORE, C., AHMED, A., BORIANI, G., FRANCIA, P. &amp; WINTERS, S. L. 2018. Clinical course and quality of life in high-risk patients with hypertrophic cardiomyopathy and implantable cardioverter-defibrillators. </w:t>
      </w:r>
      <w:r w:rsidRPr="004870A0">
        <w:rPr>
          <w:i/>
        </w:rPr>
        <w:t>Circulation: Arrhythmia and Electrophysiology,</w:t>
      </w:r>
      <w:r w:rsidRPr="004870A0">
        <w:t xml:space="preserve"> 11</w:t>
      </w:r>
      <w:r w:rsidRPr="004870A0">
        <w:rPr>
          <w:b/>
        </w:rPr>
        <w:t>,</w:t>
      </w:r>
      <w:r w:rsidRPr="004870A0">
        <w:t xml:space="preserve"> e005820.</w:t>
      </w:r>
    </w:p>
    <w:p w14:paraId="7C5BA2EE" w14:textId="77777777" w:rsidR="004870A0" w:rsidRPr="004870A0" w:rsidRDefault="004870A0" w:rsidP="009C6AEB">
      <w:pPr>
        <w:pStyle w:val="EndNoteBibliography"/>
        <w:spacing w:after="0"/>
        <w:ind w:left="720" w:hanging="720"/>
        <w:jc w:val="left"/>
      </w:pPr>
      <w:r w:rsidRPr="004870A0">
        <w:t xml:space="preserve">MARON, B. J., SPIRITO, P., SHEN, W. K., HAAS, T. S., FORMISANO, F., LINK, M. S., EPSTEIN, A. E., ALMQUIST, A. K., DAUBERT, J. P., LAWRENZ, T., BORIANI, G., ESTES, N. A., 3RD, FAVALE, S., PICCININNO, M., WINTERS, S. L., SANTINI, M., BETOCCHI, S., ARRIBAS, F., SHERRID, M. V., BUJA, G., SEMSARIAN, C. &amp; BRUZZI, P. 2007. Implantable cardioverter-defibrillators and prevention of sudden cardiac death in hypertrophic cardiomyopathy. </w:t>
      </w:r>
      <w:r w:rsidRPr="004870A0">
        <w:rPr>
          <w:i/>
        </w:rPr>
        <w:t>Jama,</w:t>
      </w:r>
      <w:r w:rsidRPr="004870A0">
        <w:t xml:space="preserve"> 298</w:t>
      </w:r>
      <w:r w:rsidRPr="004870A0">
        <w:rPr>
          <w:b/>
        </w:rPr>
        <w:t>,</w:t>
      </w:r>
      <w:r w:rsidRPr="004870A0">
        <w:t xml:space="preserve"> 405-12.</w:t>
      </w:r>
    </w:p>
    <w:p w14:paraId="2CEF0A48" w14:textId="77777777" w:rsidR="004870A0" w:rsidRPr="004870A0" w:rsidRDefault="004870A0" w:rsidP="009C6AEB">
      <w:pPr>
        <w:pStyle w:val="EndNoteBibliography"/>
        <w:spacing w:after="0"/>
        <w:ind w:left="720" w:hanging="720"/>
        <w:jc w:val="left"/>
      </w:pPr>
      <w:r w:rsidRPr="004870A0">
        <w:t xml:space="preserve">O'MAHONY, C., LAMBIASE, P. D., QUARTA, G., CARDONA, M., CALCAGNINO, M., TSOVOLAS, K., AL-SHAIKH, S., RAHMAN, S. M., ARNOUS, S. &amp; JONES, S. 2012. The long-term survival and the risks and benefits of implantable cardioverter defibrillators in patients with hypertrophic cardiomyopathy. </w:t>
      </w:r>
      <w:r w:rsidRPr="004870A0">
        <w:rPr>
          <w:i/>
        </w:rPr>
        <w:t>Heart,</w:t>
      </w:r>
      <w:r w:rsidRPr="004870A0">
        <w:t xml:space="preserve"> 98</w:t>
      </w:r>
      <w:r w:rsidRPr="004870A0">
        <w:rPr>
          <w:b/>
        </w:rPr>
        <w:t>,</w:t>
      </w:r>
      <w:r w:rsidRPr="004870A0">
        <w:t xml:space="preserve"> 116-125.</w:t>
      </w:r>
    </w:p>
    <w:p w14:paraId="0803518C" w14:textId="77777777" w:rsidR="004870A0" w:rsidRPr="004870A0" w:rsidRDefault="004870A0" w:rsidP="009C6AEB">
      <w:pPr>
        <w:pStyle w:val="EndNoteBibliography"/>
        <w:spacing w:after="0"/>
        <w:ind w:left="720" w:hanging="720"/>
        <w:jc w:val="left"/>
      </w:pPr>
      <w:r w:rsidRPr="004870A0">
        <w:t xml:space="preserve">O'MAHONY, C., TOME-ESTEBAN, M., LAMBIASE, P. D., PANTAZIS, A., DICKIE, S., MCKENNA, W. J. &amp; ELLIOTT, P. M. 2013. A validation study of the 2003 American College of Cardiology/European Society of Cardiology and 2011 American College of Cardiology Foundation/American Heart Association risk stratification and treatment algorithms for sudden cardiac death in patients with hypertrophic cardiomyopathy. </w:t>
      </w:r>
      <w:r w:rsidRPr="004870A0">
        <w:rPr>
          <w:i/>
        </w:rPr>
        <w:t>Heart,</w:t>
      </w:r>
      <w:r w:rsidRPr="004870A0">
        <w:t xml:space="preserve"> 99</w:t>
      </w:r>
      <w:r w:rsidRPr="004870A0">
        <w:rPr>
          <w:b/>
        </w:rPr>
        <w:t>,</w:t>
      </w:r>
      <w:r w:rsidRPr="004870A0">
        <w:t xml:space="preserve"> 534-41.</w:t>
      </w:r>
    </w:p>
    <w:p w14:paraId="6ABF75BE" w14:textId="77777777" w:rsidR="004870A0" w:rsidRPr="004870A0" w:rsidRDefault="004870A0" w:rsidP="009C6AEB">
      <w:pPr>
        <w:pStyle w:val="EndNoteBibliography"/>
        <w:spacing w:after="0"/>
        <w:ind w:left="720" w:hanging="720"/>
        <w:jc w:val="left"/>
      </w:pPr>
      <w:r w:rsidRPr="004870A0">
        <w:t xml:space="preserve">SCHINKEL, A. F., VRIESENDORP, P. A., SIJBRANDS, E. J., JORDAENS, L. J., TEN CATE, F. J. &amp; MICHELS, M. 2012. Outcome and complications after implantable cardioverter defibrillator therapy in hypertrophic cardiomyopathy: systematic review and meta-analysis. </w:t>
      </w:r>
      <w:r w:rsidRPr="004870A0">
        <w:rPr>
          <w:i/>
        </w:rPr>
        <w:t>Circulation: Heart Failure,</w:t>
      </w:r>
      <w:r w:rsidRPr="004870A0">
        <w:t xml:space="preserve"> 5</w:t>
      </w:r>
      <w:r w:rsidRPr="004870A0">
        <w:rPr>
          <w:b/>
        </w:rPr>
        <w:t>,</w:t>
      </w:r>
      <w:r w:rsidRPr="004870A0">
        <w:t xml:space="preserve"> 552-559.</w:t>
      </w:r>
    </w:p>
    <w:p w14:paraId="12E3D911" w14:textId="2B253FF7" w:rsidR="003928D6" w:rsidRPr="00855990" w:rsidRDefault="004870A0" w:rsidP="009C6AEB">
      <w:pPr>
        <w:pStyle w:val="EndNoteBibliography"/>
        <w:ind w:left="720" w:hanging="720"/>
        <w:jc w:val="left"/>
        <w:rPr>
          <w:rFonts w:ascii="Times New Roman" w:hAnsi="Times New Roman" w:cs="Times New Roman"/>
          <w:sz w:val="28"/>
          <w:szCs w:val="28"/>
        </w:rPr>
      </w:pPr>
      <w:r w:rsidRPr="004870A0">
        <w:t xml:space="preserve">WAIGHT, M., ELAWADY, A., GAGE, H., TOURAY, M. &amp; ADHYA, S. 2019. Day case complex devices: the state of the UK. </w:t>
      </w:r>
      <w:r w:rsidRPr="004870A0">
        <w:rPr>
          <w:i/>
        </w:rPr>
        <w:t>Open heart,</w:t>
      </w:r>
      <w:r w:rsidRPr="004870A0">
        <w:t xml:space="preserve"> 6</w:t>
      </w:r>
      <w:r w:rsidRPr="004870A0">
        <w:rPr>
          <w:b/>
        </w:rPr>
        <w:t>,</w:t>
      </w:r>
      <w:r w:rsidRPr="004870A0">
        <w:t xml:space="preserve"> e001023.</w:t>
      </w:r>
      <w:r w:rsidR="00E1672F">
        <w:rPr>
          <w:rFonts w:ascii="Times New Roman" w:hAnsi="Times New Roman" w:cs="Times New Roman"/>
          <w:sz w:val="28"/>
          <w:szCs w:val="28"/>
        </w:rPr>
        <w:fldChar w:fldCharType="end"/>
      </w:r>
    </w:p>
    <w:sectPr w:rsidR="003928D6" w:rsidRPr="00855990" w:rsidSect="00F631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E5425" w14:textId="77777777" w:rsidR="008A3E81" w:rsidRDefault="008A3E81" w:rsidP="00F45A3F">
      <w:pPr>
        <w:spacing w:after="0" w:line="240" w:lineRule="auto"/>
      </w:pPr>
      <w:r>
        <w:separator/>
      </w:r>
    </w:p>
  </w:endnote>
  <w:endnote w:type="continuationSeparator" w:id="0">
    <w:p w14:paraId="57F9B5F7" w14:textId="77777777" w:rsidR="008A3E81" w:rsidRDefault="008A3E81" w:rsidP="00F45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1D952" w14:textId="77777777" w:rsidR="008A3E81" w:rsidRDefault="008A3E81" w:rsidP="00F45A3F">
      <w:pPr>
        <w:spacing w:after="0" w:line="240" w:lineRule="auto"/>
      </w:pPr>
      <w:r>
        <w:separator/>
      </w:r>
    </w:p>
  </w:footnote>
  <w:footnote w:type="continuationSeparator" w:id="0">
    <w:p w14:paraId="25924F8A" w14:textId="77777777" w:rsidR="008A3E81" w:rsidRDefault="008A3E81" w:rsidP="00F45A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easvwr5axspf8ev0x0pr2zpsrx99sdt5vsw&quot;&gt;Summer Project&lt;record-ids&gt;&lt;item&gt;16&lt;/item&gt;&lt;item&gt;38&lt;/item&gt;&lt;item&gt;93&lt;/item&gt;&lt;item&gt;94&lt;/item&gt;&lt;item&gt;95&lt;/item&gt;&lt;item&gt;99&lt;/item&gt;&lt;item&gt;101&lt;/item&gt;&lt;/record-ids&gt;&lt;/item&gt;&lt;/Libraries&gt;"/>
  </w:docVars>
  <w:rsids>
    <w:rsidRoot w:val="006055FB"/>
    <w:rsid w:val="00023D45"/>
    <w:rsid w:val="0007622A"/>
    <w:rsid w:val="00083186"/>
    <w:rsid w:val="00086640"/>
    <w:rsid w:val="000A10A8"/>
    <w:rsid w:val="00123C18"/>
    <w:rsid w:val="001806F3"/>
    <w:rsid w:val="001C04AF"/>
    <w:rsid w:val="001D0277"/>
    <w:rsid w:val="00227772"/>
    <w:rsid w:val="00236C97"/>
    <w:rsid w:val="002571D3"/>
    <w:rsid w:val="00260196"/>
    <w:rsid w:val="00275870"/>
    <w:rsid w:val="002C0ADE"/>
    <w:rsid w:val="003059C9"/>
    <w:rsid w:val="00330B6C"/>
    <w:rsid w:val="00334A76"/>
    <w:rsid w:val="00362161"/>
    <w:rsid w:val="003928D6"/>
    <w:rsid w:val="003B32AA"/>
    <w:rsid w:val="003C1F43"/>
    <w:rsid w:val="003E7F70"/>
    <w:rsid w:val="00453E38"/>
    <w:rsid w:val="0046294F"/>
    <w:rsid w:val="004870A0"/>
    <w:rsid w:val="004A48CD"/>
    <w:rsid w:val="004A6C17"/>
    <w:rsid w:val="004B11F6"/>
    <w:rsid w:val="004D5DDB"/>
    <w:rsid w:val="004E18BA"/>
    <w:rsid w:val="004F2E8F"/>
    <w:rsid w:val="0050694F"/>
    <w:rsid w:val="00536174"/>
    <w:rsid w:val="00544221"/>
    <w:rsid w:val="00581562"/>
    <w:rsid w:val="005A3021"/>
    <w:rsid w:val="005D0C0E"/>
    <w:rsid w:val="00600EA3"/>
    <w:rsid w:val="006055FB"/>
    <w:rsid w:val="006279BD"/>
    <w:rsid w:val="00640F0E"/>
    <w:rsid w:val="00655167"/>
    <w:rsid w:val="00680B6C"/>
    <w:rsid w:val="006916B3"/>
    <w:rsid w:val="006C2A4E"/>
    <w:rsid w:val="00716A2E"/>
    <w:rsid w:val="007C0EAE"/>
    <w:rsid w:val="007E5D97"/>
    <w:rsid w:val="008379D3"/>
    <w:rsid w:val="008474BD"/>
    <w:rsid w:val="00855990"/>
    <w:rsid w:val="00861602"/>
    <w:rsid w:val="00867F04"/>
    <w:rsid w:val="008708FC"/>
    <w:rsid w:val="00886808"/>
    <w:rsid w:val="00887212"/>
    <w:rsid w:val="008A1D60"/>
    <w:rsid w:val="008A3E81"/>
    <w:rsid w:val="008C4893"/>
    <w:rsid w:val="008D2A18"/>
    <w:rsid w:val="008D3F95"/>
    <w:rsid w:val="008F22C1"/>
    <w:rsid w:val="00933232"/>
    <w:rsid w:val="009557AC"/>
    <w:rsid w:val="0096128B"/>
    <w:rsid w:val="00966743"/>
    <w:rsid w:val="00981DA1"/>
    <w:rsid w:val="00994C89"/>
    <w:rsid w:val="009A0D38"/>
    <w:rsid w:val="009B459E"/>
    <w:rsid w:val="009C6AEB"/>
    <w:rsid w:val="00A928C6"/>
    <w:rsid w:val="00AA586F"/>
    <w:rsid w:val="00B14DE6"/>
    <w:rsid w:val="00B172DF"/>
    <w:rsid w:val="00B21D0A"/>
    <w:rsid w:val="00B81647"/>
    <w:rsid w:val="00B85C43"/>
    <w:rsid w:val="00BE426F"/>
    <w:rsid w:val="00BF2434"/>
    <w:rsid w:val="00C01598"/>
    <w:rsid w:val="00C02669"/>
    <w:rsid w:val="00C02A80"/>
    <w:rsid w:val="00C465E9"/>
    <w:rsid w:val="00C4719F"/>
    <w:rsid w:val="00CA5072"/>
    <w:rsid w:val="00CC558D"/>
    <w:rsid w:val="00CE23AF"/>
    <w:rsid w:val="00CF2E85"/>
    <w:rsid w:val="00CF768D"/>
    <w:rsid w:val="00D24ACE"/>
    <w:rsid w:val="00D52004"/>
    <w:rsid w:val="00D60185"/>
    <w:rsid w:val="00D91DF8"/>
    <w:rsid w:val="00D937B8"/>
    <w:rsid w:val="00DA4F2D"/>
    <w:rsid w:val="00DB54DF"/>
    <w:rsid w:val="00E1672F"/>
    <w:rsid w:val="00E43033"/>
    <w:rsid w:val="00E43D7A"/>
    <w:rsid w:val="00E8781B"/>
    <w:rsid w:val="00EA449C"/>
    <w:rsid w:val="00EF53BC"/>
    <w:rsid w:val="00EF7E40"/>
    <w:rsid w:val="00F04E91"/>
    <w:rsid w:val="00F23C60"/>
    <w:rsid w:val="00F337DE"/>
    <w:rsid w:val="00F45A3F"/>
    <w:rsid w:val="00F63137"/>
    <w:rsid w:val="00F92E18"/>
    <w:rsid w:val="00FB34BC"/>
    <w:rsid w:val="00FC1D63"/>
    <w:rsid w:val="00FD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072D7"/>
  <w15:chartTrackingRefBased/>
  <w15:docId w15:val="{398C67A8-FAF1-4F87-9E08-4A2A2D27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2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8D6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E1672F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1672F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E1672F"/>
    <w:pPr>
      <w:spacing w:line="240" w:lineRule="auto"/>
      <w:jc w:val="center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1672F"/>
    <w:rPr>
      <w:rFonts w:ascii="Calibri" w:hAnsi="Calibri" w:cs="Calibri"/>
      <w:noProof/>
    </w:rPr>
  </w:style>
  <w:style w:type="paragraph" w:styleId="Header">
    <w:name w:val="header"/>
    <w:basedOn w:val="Normal"/>
    <w:link w:val="HeaderChar"/>
    <w:uiPriority w:val="99"/>
    <w:unhideWhenUsed/>
    <w:rsid w:val="00F45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A3F"/>
  </w:style>
  <w:style w:type="paragraph" w:styleId="Footer">
    <w:name w:val="footer"/>
    <w:basedOn w:val="Normal"/>
    <w:link w:val="FooterChar"/>
    <w:uiPriority w:val="99"/>
    <w:unhideWhenUsed/>
    <w:rsid w:val="00F45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5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1865</Words>
  <Characters>10635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ADDAH</dc:creator>
  <cp:keywords/>
  <dc:description/>
  <cp:lastModifiedBy>Nathan Green</cp:lastModifiedBy>
  <cp:revision>11</cp:revision>
  <dcterms:created xsi:type="dcterms:W3CDTF">2020-01-08T19:38:00Z</dcterms:created>
  <dcterms:modified xsi:type="dcterms:W3CDTF">2020-06-19T15:53:00Z</dcterms:modified>
</cp:coreProperties>
</file>