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A919" w14:textId="15A99B98" w:rsidR="00FC4723" w:rsidRDefault="00C93D65">
      <w:proofErr w:type="spellStart"/>
      <w:r w:rsidRPr="00C93D65">
        <w:t>Pharmapace</w:t>
      </w:r>
      <w:proofErr w:type="spellEnd"/>
      <w:r w:rsidRPr="00C93D65">
        <w:t>, Inc</w:t>
      </w:r>
    </w:p>
    <w:p w14:paraId="6D07A1AD" w14:textId="74E07D30" w:rsidR="00C93D65" w:rsidRDefault="00C93D65">
      <w:r w:rsidRPr="00C93D65">
        <w:t>D2V Clinical</w:t>
      </w:r>
    </w:p>
    <w:p w14:paraId="2E1236DC" w14:textId="20B0FF64" w:rsidR="0006362D" w:rsidRDefault="0006362D">
      <w:r w:rsidRPr="0006362D">
        <w:t>STATKING Clinical Services</w:t>
      </w:r>
    </w:p>
    <w:p w14:paraId="2C3075B7" w14:textId="1A6A418D" w:rsidR="0006362D" w:rsidRDefault="0006362D">
      <w:proofErr w:type="spellStart"/>
      <w:r w:rsidRPr="0006362D">
        <w:t>Clymb</w:t>
      </w:r>
      <w:proofErr w:type="spellEnd"/>
      <w:r w:rsidRPr="0006362D">
        <w:t xml:space="preserve"> Clinical</w:t>
      </w:r>
    </w:p>
    <w:p w14:paraId="02C3C1BB" w14:textId="77777777" w:rsidR="00B833DE" w:rsidRDefault="00B833DE"/>
    <w:p w14:paraId="320F2888" w14:textId="1D6181AC" w:rsidR="00B833DE" w:rsidRDefault="00B833DE">
      <w:proofErr w:type="gramStart"/>
      <w:r w:rsidRPr="00B833DE">
        <w:t>CDISC(</w:t>
      </w:r>
      <w:proofErr w:type="gramEnd"/>
      <w:r w:rsidRPr="00B833DE">
        <w:t xml:space="preserve">SDTM and </w:t>
      </w:r>
      <w:proofErr w:type="spellStart"/>
      <w:r w:rsidRPr="00B833DE">
        <w:t>ADaM</w:t>
      </w:r>
      <w:proofErr w:type="spellEnd"/>
      <w:r w:rsidRPr="00B833DE">
        <w:t>)</w:t>
      </w:r>
    </w:p>
    <w:p w14:paraId="1B577841" w14:textId="77777777" w:rsidR="0093647F" w:rsidRDefault="0093647F"/>
    <w:p w14:paraId="5ADAE22C" w14:textId="20C4E666" w:rsidR="0093647F" w:rsidRDefault="0093647F">
      <w:r w:rsidRPr="0093647F">
        <w:t>PRA Health Sciences (ICON)</w:t>
      </w:r>
    </w:p>
    <w:p w14:paraId="4CFCACC7" w14:textId="0DE50A96" w:rsidR="0093647F" w:rsidRDefault="0093647F">
      <w:proofErr w:type="spellStart"/>
      <w:r w:rsidRPr="0093647F">
        <w:t>Progenics</w:t>
      </w:r>
      <w:proofErr w:type="spellEnd"/>
      <w:r w:rsidRPr="0093647F">
        <w:t xml:space="preserve"> Pharmaceuticals, Inc</w:t>
      </w:r>
    </w:p>
    <w:p w14:paraId="38874FBB" w14:textId="77777777" w:rsidR="00317D4D" w:rsidRDefault="00317D4D"/>
    <w:p w14:paraId="3EB9B520" w14:textId="31D4D67A" w:rsidR="00317D4D" w:rsidRDefault="00317D4D">
      <w:r>
        <w:rPr>
          <w:rFonts w:ascii="Segoe UI" w:hAnsi="Segoe UI" w:cs="Segoe UI"/>
          <w:sz w:val="21"/>
          <w:szCs w:val="21"/>
          <w:shd w:val="clear" w:color="auto" w:fill="FFFFFF"/>
        </w:rPr>
        <w:t>Primary work: data management, data analysis, simulation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type: preclinical data, biomarker data, genomics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--------------------------------------------------------------------------------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Led the statistical consulting work for pre-clinical and clinical biomarker projects. Involved a variety of consulting tasks that dealt with assays and data from whole genome sequencing, ELISpot, Luminex, and flow cytometry technologies.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Supported preclinical animal studies (e.g. repeated measure of PD biomarkers), and Phase I clinical trials (e.g. molecular PD markers).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Investigated and compared different statistical methodologies, proposed and implemented novel methods (e.g. bootstrap-based methods, logistic regression, principal component analysis, survival data analysis, modified trend test).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Wrote project reports, delivered analysis results.</w:t>
      </w:r>
    </w:p>
    <w:sectPr w:rsidR="00317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65"/>
    <w:rsid w:val="0006362D"/>
    <w:rsid w:val="000D05D5"/>
    <w:rsid w:val="00317D4D"/>
    <w:rsid w:val="005402B7"/>
    <w:rsid w:val="007C362C"/>
    <w:rsid w:val="00865DE0"/>
    <w:rsid w:val="0093647F"/>
    <w:rsid w:val="00B833DE"/>
    <w:rsid w:val="00C93D65"/>
    <w:rsid w:val="00FC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05CA6"/>
  <w15:chartTrackingRefBased/>
  <w15:docId w15:val="{99D1EDEE-3733-7B4B-B7FF-9ED5796D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65"/>
    <w:rPr>
      <w:b/>
      <w:bCs/>
      <w:smallCaps/>
      <w:color w:val="0F4761" w:themeColor="accent1" w:themeShade="BF"/>
      <w:spacing w:val="5"/>
    </w:rPr>
  </w:style>
  <w:style w:type="character" w:customStyle="1" w:styleId="white-space-pre">
    <w:name w:val="white-space-pre"/>
    <w:basedOn w:val="DefaultParagraphFont"/>
    <w:rsid w:val="00317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Xiaolei (li3xl)</dc:creator>
  <cp:keywords/>
  <dc:description/>
  <cp:lastModifiedBy>Li, Xiaolei (li3xl)</cp:lastModifiedBy>
  <cp:revision>5</cp:revision>
  <dcterms:created xsi:type="dcterms:W3CDTF">2024-09-24T14:46:00Z</dcterms:created>
  <dcterms:modified xsi:type="dcterms:W3CDTF">2025-02-21T22:12:00Z</dcterms:modified>
</cp:coreProperties>
</file>