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069E6">
      <w:pPr>
        <w:pStyle w:val="12"/>
        <w:spacing w:line="360" w:lineRule="auto"/>
        <w:jc w:val="center"/>
        <w:rPr>
          <w:color w:val="01467F"/>
        </w:rPr>
      </w:pPr>
      <w:r>
        <w:rPr>
          <w:color w:val="01467F"/>
        </w:rPr>
        <w:t>眼底视网膜血管分割数据集分析</w:t>
      </w:r>
    </w:p>
    <w:p w14:paraId="19644DA0">
      <w:pPr>
        <w:pStyle w:val="13"/>
        <w:spacing w:line="360" w:lineRule="auto"/>
      </w:pPr>
      <w:r>
        <w:t>引言</w:t>
      </w:r>
    </w:p>
    <w:p w14:paraId="3330D8DD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在眼底视网膜血管分割领域,高质量、带有精确标注的公共数据集是推动算法创新、性能评估和临床转化的基石。它们不仅为研究人员提供了公平比较算法性能的通用基准,也揭示了现有方法的局限性,从而指引了新的研究方向。本报告将详细分析在五篇核心论文[1-5]中广泛使用的主要数据集,阐述它们的特点以及在不同方法评估中所扮演的关键角色。</w:t>
      </w:r>
    </w:p>
    <w:p w14:paraId="06EA6E52">
      <w:pPr>
        <w:pStyle w:val="15"/>
        <w:spacing w:before="0" w:after="60" w:line="360" w:lineRule="auto"/>
      </w:pPr>
    </w:p>
    <w:p w14:paraId="4ED4D309">
      <w:pPr>
        <w:pStyle w:val="13"/>
        <w:spacing w:line="360" w:lineRule="auto"/>
      </w:pPr>
      <w:r>
        <w:t>核心基准数据集: DRIVE, STARE, CHASE_DB1</w:t>
      </w:r>
    </w:p>
    <w:p w14:paraId="0C2F173A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DRIVE、STARE和CHASE_DB1是视网膜血管分割领域最经典、最常用的三大公共数据集。它们自发布以来,已成为评估新算法性能的“金标准”。几乎所有新提出的方法都会在这三个数据集上进行测试,以证明其有效性和优越性。</w:t>
      </w:r>
    </w:p>
    <w:p w14:paraId="29E15C7F">
      <w:pPr>
        <w:pStyle w:val="15"/>
        <w:spacing w:before="0" w:after="60" w:line="360" w:lineRule="auto"/>
      </w:pPr>
    </w:p>
    <w:p w14:paraId="2450E187">
      <w:pPr>
        <w:pStyle w:val="14"/>
        <w:spacing w:line="360" w:lineRule="auto"/>
      </w:pPr>
      <w:r>
        <w:t>下表对这三个核心数据集的关键特征进行了总结和比较:</w:t>
      </w:r>
    </w:p>
    <w:p w14:paraId="41E64BFD">
      <w:pPr>
        <w:pStyle w:val="15"/>
        <w:spacing w:before="0" w:after="60" w:line="360" w:lineRule="auto"/>
      </w:pP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5"/>
        <w:gridCol w:w="3564"/>
        <w:gridCol w:w="2891"/>
        <w:gridCol w:w="3452"/>
      </w:tblGrid>
      <w:tr w14:paraId="425BB2C6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F4A4C">
            <w:pPr>
              <w:pStyle w:val="16"/>
              <w:spacing w:line="360" w:lineRule="auto"/>
              <w:jc w:val="left"/>
            </w:pPr>
            <w:r>
              <w:t>特征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D7FF0">
            <w:pPr>
              <w:pStyle w:val="16"/>
              <w:spacing w:line="360" w:lineRule="auto"/>
              <w:jc w:val="left"/>
            </w:pPr>
            <w:r>
              <w:t>DRIVE (2004)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B42A6">
            <w:pPr>
              <w:pStyle w:val="16"/>
              <w:spacing w:line="360" w:lineRule="auto"/>
              <w:jc w:val="left"/>
            </w:pPr>
            <w:r>
              <w:t>STARE (2000)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DB6F3">
            <w:pPr>
              <w:pStyle w:val="16"/>
              <w:spacing w:line="360" w:lineRule="auto"/>
              <w:jc w:val="left"/>
            </w:pPr>
            <w:r>
              <w:t>CHASE_DB1 (2012)</w:t>
            </w:r>
          </w:p>
        </w:tc>
      </w:tr>
      <w:tr w14:paraId="7E8FB174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0A8D">
            <w:pPr>
              <w:pStyle w:val="17"/>
              <w:spacing w:line="360" w:lineRule="auto"/>
              <w:jc w:val="left"/>
            </w:pPr>
            <w:r>
              <w:rPr>
                <w:rStyle w:val="18"/>
                <w:b/>
                <w:bCs/>
              </w:rPr>
              <w:t>全称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3AD7">
            <w:pPr>
              <w:pStyle w:val="17"/>
              <w:spacing w:line="360" w:lineRule="auto"/>
              <w:jc w:val="left"/>
            </w:pPr>
            <w:r>
              <w:t>Digital Retinal Images for Vessel Extraction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648F">
            <w:pPr>
              <w:pStyle w:val="17"/>
              <w:spacing w:line="360" w:lineRule="auto"/>
              <w:jc w:val="left"/>
            </w:pPr>
            <w:r>
              <w:t>STructured Analysis of the REtina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DC287">
            <w:pPr>
              <w:pStyle w:val="17"/>
              <w:spacing w:line="360" w:lineRule="auto"/>
              <w:jc w:val="left"/>
            </w:pPr>
            <w:r>
              <w:t>Child Heart and Health Study in England</w:t>
            </w:r>
          </w:p>
        </w:tc>
      </w:tr>
      <w:tr w14:paraId="5D328F21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354A">
            <w:pPr>
              <w:pStyle w:val="17"/>
              <w:spacing w:line="360" w:lineRule="auto"/>
              <w:jc w:val="left"/>
            </w:pPr>
            <w:r>
              <w:rPr>
                <w:rStyle w:val="18"/>
                <w:b/>
                <w:bCs/>
              </w:rPr>
              <w:t>图像数量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1ED4">
            <w:pPr>
              <w:pStyle w:val="17"/>
              <w:spacing w:line="360" w:lineRule="auto"/>
              <w:jc w:val="left"/>
            </w:pPr>
            <w:r>
              <w:t>40张 (20训练, 20测试)</w:t>
            </w:r>
            <w:bookmarkStart w:id="0" w:name="_GoBack"/>
            <w:bookmarkEnd w:id="0"/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D334">
            <w:pPr>
              <w:pStyle w:val="17"/>
              <w:spacing w:line="360" w:lineRule="auto"/>
              <w:jc w:val="left"/>
            </w:pPr>
            <w:r>
              <w:t>20张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5895">
            <w:pPr>
              <w:pStyle w:val="17"/>
              <w:spacing w:line="360" w:lineRule="auto"/>
              <w:jc w:val="left"/>
            </w:pPr>
            <w:r>
              <w:t>28张</w:t>
            </w:r>
          </w:p>
        </w:tc>
      </w:tr>
      <w:tr w14:paraId="7BBFDCD6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ABDD">
            <w:pPr>
              <w:pStyle w:val="17"/>
              <w:spacing w:line="360" w:lineRule="auto"/>
              <w:jc w:val="left"/>
            </w:pPr>
            <w:r>
              <w:rPr>
                <w:rStyle w:val="18"/>
                <w:b/>
                <w:bCs/>
              </w:rPr>
              <w:t>图像分辨率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2A4C">
            <w:pPr>
              <w:pStyle w:val="17"/>
              <w:spacing w:line="360" w:lineRule="auto"/>
              <w:jc w:val="left"/>
            </w:pPr>
            <w:r>
              <w:t>768 × 584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D11A">
            <w:pPr>
              <w:pStyle w:val="17"/>
              <w:spacing w:line="360" w:lineRule="auto"/>
              <w:jc w:val="left"/>
            </w:pPr>
            <w:r>
              <w:t>700 × 605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2B0C">
            <w:pPr>
              <w:pStyle w:val="17"/>
              <w:spacing w:line="360" w:lineRule="auto"/>
              <w:jc w:val="left"/>
            </w:pPr>
            <w:r>
              <w:t>1280 × 960</w:t>
            </w:r>
          </w:p>
        </w:tc>
      </w:tr>
      <w:tr w14:paraId="3F9AE675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496AA">
            <w:pPr>
              <w:pStyle w:val="17"/>
              <w:spacing w:line="360" w:lineRule="auto"/>
              <w:jc w:val="left"/>
            </w:pPr>
            <w:r>
              <w:rPr>
                <w:rStyle w:val="18"/>
                <w:b/>
                <w:bCs/>
              </w:rPr>
              <w:t>来源人群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E5B8">
            <w:pPr>
              <w:pStyle w:val="17"/>
              <w:spacing w:line="360" w:lineRule="auto"/>
              <w:jc w:val="left"/>
            </w:pPr>
            <w:r>
              <w:t>荷兰糖尿病筛查项目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72AA">
            <w:pPr>
              <w:pStyle w:val="17"/>
              <w:spacing w:line="360" w:lineRule="auto"/>
              <w:jc w:val="left"/>
            </w:pPr>
            <w:r>
              <w:t>多种病理学研究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E215">
            <w:pPr>
              <w:pStyle w:val="17"/>
              <w:spacing w:line="360" w:lineRule="auto"/>
              <w:jc w:val="left"/>
            </w:pPr>
            <w:r>
              <w:t>英国多族裔学龄儿童</w:t>
            </w:r>
          </w:p>
        </w:tc>
      </w:tr>
      <w:tr w14:paraId="27A90364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EB12">
            <w:pPr>
              <w:pStyle w:val="17"/>
              <w:spacing w:line="360" w:lineRule="auto"/>
              <w:jc w:val="left"/>
            </w:pPr>
            <w:r>
              <w:rPr>
                <w:rStyle w:val="18"/>
                <w:b/>
                <w:bCs/>
              </w:rPr>
              <w:t>病理情况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F600">
            <w:pPr>
              <w:pStyle w:val="17"/>
              <w:spacing w:line="360" w:lineRule="auto"/>
              <w:jc w:val="left"/>
            </w:pPr>
            <w:r>
              <w:t>7张含轻度糖尿病视网膜病变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A99D">
            <w:pPr>
              <w:pStyle w:val="17"/>
              <w:spacing w:line="360" w:lineRule="auto"/>
              <w:jc w:val="left"/>
            </w:pPr>
            <w:r>
              <w:t>10张含病变,种类多样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A453">
            <w:pPr>
              <w:pStyle w:val="17"/>
              <w:spacing w:line="360" w:lineRule="auto"/>
              <w:jc w:val="left"/>
            </w:pPr>
            <w:r>
              <w:t>无明确病变记录</w:t>
            </w:r>
          </w:p>
        </w:tc>
      </w:tr>
      <w:tr w14:paraId="607D25DF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143D">
            <w:pPr>
              <w:pStyle w:val="17"/>
              <w:spacing w:line="360" w:lineRule="auto"/>
              <w:jc w:val="left"/>
            </w:pPr>
            <w:r>
              <w:rPr>
                <w:rStyle w:val="18"/>
                <w:b/>
                <w:bCs/>
              </w:rPr>
              <w:t>标注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0217">
            <w:pPr>
              <w:pStyle w:val="17"/>
              <w:spacing w:line="360" w:lineRule="auto"/>
              <w:jc w:val="left"/>
            </w:pPr>
            <w:r>
              <w:t>训练集1位专家, 测试集2位专家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C97ED">
            <w:pPr>
              <w:pStyle w:val="17"/>
              <w:spacing w:line="360" w:lineRule="auto"/>
              <w:jc w:val="left"/>
            </w:pPr>
            <w:r>
              <w:t>2位专家对所有图像标注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9A4A">
            <w:pPr>
              <w:pStyle w:val="17"/>
              <w:spacing w:line="360" w:lineRule="auto"/>
              <w:jc w:val="left"/>
            </w:pPr>
            <w:r>
              <w:t>2位专家对所有图像标注</w:t>
            </w:r>
          </w:p>
        </w:tc>
      </w:tr>
      <w:tr w14:paraId="634DDC82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781A">
            <w:pPr>
              <w:pStyle w:val="17"/>
              <w:spacing w:line="360" w:lineRule="auto"/>
              <w:jc w:val="left"/>
            </w:pPr>
            <w:r>
              <w:rPr>
                <w:rStyle w:val="18"/>
                <w:b/>
                <w:bCs/>
              </w:rPr>
              <w:t>关键特点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134D">
            <w:pPr>
              <w:pStyle w:val="17"/>
              <w:spacing w:line="360" w:lineRule="auto"/>
              <w:jc w:val="left"/>
            </w:pPr>
            <w:r>
              <w:t>最早的标准化基准,图像质量较好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3B42">
            <w:pPr>
              <w:pStyle w:val="17"/>
              <w:spacing w:line="360" w:lineRule="auto"/>
              <w:jc w:val="left"/>
            </w:pPr>
            <w:r>
              <w:t>包含更多病理图像,更具挑战性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EE6D">
            <w:pPr>
              <w:pStyle w:val="17"/>
              <w:spacing w:line="360" w:lineRule="auto"/>
              <w:jc w:val="left"/>
            </w:pPr>
            <w:r>
              <w:t>分辨率更高,来自儿童,血管更细</w:t>
            </w:r>
          </w:p>
        </w:tc>
      </w:tr>
    </w:tbl>
    <w:p w14:paraId="4972D955">
      <w:pPr>
        <w:pStyle w:val="14"/>
        <w:spacing w:line="360" w:lineRule="auto"/>
      </w:pPr>
      <w:r>
        <w:t>这三个数据集各有侧重,共同构成了一个全面的评估体系:</w:t>
      </w:r>
    </w:p>
    <w:p w14:paraId="224DD756">
      <w:pPr>
        <w:pStyle w:val="19"/>
        <w:numPr>
          <w:ilvl w:val="0"/>
          <w:numId w:val="1"/>
        </w:numPr>
        <w:spacing w:line="360" w:lineRule="auto"/>
      </w:pPr>
      <w:r>
        <w:rPr>
          <w:rStyle w:val="18"/>
          <w:b/>
          <w:bCs/>
        </w:rPr>
        <w:t>DRIVE</w:t>
      </w:r>
      <w:r>
        <w:t>: 作为入门级的标准数据集,用于验证算法的基本分割能力。</w:t>
      </w:r>
    </w:p>
    <w:p w14:paraId="31E6488F">
      <w:pPr>
        <w:pStyle w:val="19"/>
        <w:numPr>
          <w:ilvl w:val="0"/>
          <w:numId w:val="1"/>
        </w:numPr>
        <w:spacing w:line="360" w:lineRule="auto"/>
      </w:pPr>
      <w:r>
        <w:rPr>
          <w:rStyle w:val="18"/>
          <w:b/>
          <w:bCs/>
        </w:rPr>
        <w:t>STARE</w:t>
      </w:r>
      <w:r>
        <w:t>: 由于其包含了更多样和更严重的病理情况(如脉络膜新生血管、视盘水肿等),它被用来测试算法在复杂背景和病变干扰下的鲁棒性。</w:t>
      </w:r>
    </w:p>
    <w:p w14:paraId="6205594A">
      <w:pPr>
        <w:pStyle w:val="19"/>
        <w:numPr>
          <w:ilvl w:val="0"/>
          <w:numId w:val="1"/>
        </w:numPr>
        <w:spacing w:line="360" w:lineRule="auto"/>
      </w:pPr>
      <w:r>
        <w:rPr>
          <w:rStyle w:val="18"/>
          <w:b/>
          <w:bCs/>
        </w:rPr>
        <w:t>CHASE_DB1</w:t>
      </w:r>
      <w:r>
        <w:t>: 其图像来自儿童,血管通常更细,且分辨率更高,因此它对算法检测微小血管和细节的能力提出了更高的要求。</w:t>
      </w:r>
    </w:p>
    <w:p w14:paraId="2BFCB980">
      <w:pPr>
        <w:pStyle w:val="15"/>
        <w:spacing w:before="0" w:after="60" w:line="360" w:lineRule="auto"/>
      </w:pPr>
    </w:p>
    <w:p w14:paraId="4368EDD3">
      <w:pPr>
        <w:pStyle w:val="13"/>
        <w:spacing w:line="360" w:lineRule="auto"/>
      </w:pPr>
      <w:r>
        <w:t>扩展与前沿数据集</w:t>
      </w:r>
    </w:p>
    <w:p w14:paraId="7DD894D1">
      <w:pPr>
        <w:pStyle w:val="14"/>
        <w:spacing w:line="360" w:lineRule="auto"/>
      </w:pPr>
      <w:r>
        <w:t>随着研究的深入,仅在上述三个数据集上取得高分已不再是终极目标。研究者们开始关注更高分辨率、更大规模以及更复杂场景下的分割问题,催生了一系列新的数据集,这些在被选的五篇论文中也有体现。</w:t>
      </w:r>
    </w:p>
    <w:p w14:paraId="7B38698F">
      <w:pPr>
        <w:pStyle w:val="15"/>
        <w:spacing w:before="0" w:after="60" w:line="360" w:lineRule="auto"/>
      </w:pPr>
    </w:p>
    <w:p w14:paraId="4C55D7B5">
      <w:pPr>
        <w:pStyle w:val="19"/>
        <w:numPr>
          <w:ilvl w:val="0"/>
          <w:numId w:val="1"/>
        </w:numPr>
        <w:spacing w:line="360" w:lineRule="auto"/>
      </w:pPr>
      <w:r>
        <w:rPr>
          <w:rStyle w:val="18"/>
          <w:b/>
          <w:bCs/>
        </w:rPr>
        <w:t>HRF (High-Resolution Fundus)</w:t>
      </w:r>
      <w:r>
        <w:t>: 包含3304×2336的超高分辨率图像,用于评估算法处理高清图像的能力,对检测微小血管尤为重要。</w:t>
      </w:r>
    </w:p>
    <w:p w14:paraId="70187A7A">
      <w:pPr>
        <w:pStyle w:val="19"/>
        <w:numPr>
          <w:ilvl w:val="0"/>
          <w:numId w:val="1"/>
        </w:numPr>
        <w:spacing w:line="360" w:lineRule="auto"/>
      </w:pPr>
      <w:r>
        <w:rPr>
          <w:rStyle w:val="18"/>
          <w:b/>
          <w:bCs/>
        </w:rPr>
        <w:t>FIVES (Fundus Image Vessel Segmentation)</w:t>
      </w:r>
      <w:r>
        <w:t>: 拥有800张图像,是目前规模最大的血管分割数据集之一,为训练需要大量数据的深度学习模型提供了可能。</w:t>
      </w:r>
    </w:p>
    <w:p w14:paraId="717E560B">
      <w:pPr>
        <w:pStyle w:val="19"/>
        <w:numPr>
          <w:ilvl w:val="0"/>
          <w:numId w:val="1"/>
        </w:numPr>
        <w:spacing w:line="360" w:lineRule="auto"/>
      </w:pPr>
      <w:r>
        <w:rPr>
          <w:rStyle w:val="18"/>
          <w:b/>
          <w:bCs/>
        </w:rPr>
        <w:t>IOSTAR, UoA-DR, RC-SLO</w:t>
      </w:r>
      <w:r>
        <w:t>: 这些是更新的数据集,部分采用了不同的成像技术(如RC-SLO使用共焦扫描激光检眼镜),用于测试算法在不同成像模态和数据分布下的泛化能力。</w:t>
      </w:r>
    </w:p>
    <w:p w14:paraId="4E94ECEA">
      <w:pPr>
        <w:pStyle w:val="15"/>
        <w:spacing w:before="0" w:after="60" w:line="360" w:lineRule="auto"/>
      </w:pPr>
    </w:p>
    <w:p w14:paraId="54D9A8F6">
      <w:pPr>
        <w:pStyle w:val="13"/>
        <w:spacing w:line="360" w:lineRule="auto"/>
      </w:pPr>
      <w:r>
        <w:t>数据集在五篇核心论文中的作用分析</w:t>
      </w:r>
    </w:p>
    <w:p w14:paraId="3F02E54A">
      <w:pPr>
        <w:pStyle w:val="14"/>
        <w:spacing w:line="360" w:lineRule="auto"/>
      </w:pPr>
      <w:r>
        <w:t>五篇核心论文巧妙地利用这些数据集来凸显其研究贡献:</w:t>
      </w:r>
    </w:p>
    <w:p w14:paraId="0F1C64B8">
      <w:pPr>
        <w:pStyle w:val="15"/>
        <w:spacing w:before="0" w:after="60" w:line="360" w:lineRule="auto"/>
      </w:pPr>
    </w:p>
    <w:p w14:paraId="32078149">
      <w:pPr>
        <w:pStyle w:val="19"/>
        <w:numPr>
          <w:ilvl w:val="0"/>
          <w:numId w:val="2"/>
        </w:numPr>
        <w:spacing w:line="360" w:lineRule="auto"/>
      </w:pPr>
      <w:r>
        <w:rPr>
          <w:rStyle w:val="18"/>
          <w:b/>
          <w:bCs/>
        </w:rPr>
        <w:t>Galdran et al. (2022) [1]</w:t>
      </w:r>
      <w:r>
        <w:t>: 这篇论文的核心论点是“简约模型也能达到顶尖性能,且泛化能力更强”。为了证明这一点,作者进行了迄今为止最全面的</w:t>
      </w:r>
      <w:r>
        <w:rPr>
          <w:rStyle w:val="18"/>
          <w:b/>
          <w:bCs/>
        </w:rPr>
        <w:t>跨数据集评估</w:t>
      </w:r>
      <w:r>
        <w:t>,使用了多达10个不同的数据集。他们在一个数据集(如DRIVE)上训练模型,然后在其他九个未见过的数据集上进行测试。这种严苛的评估方式极大地考验了模型的泛化能力,清晰地证明了其简约U-Net在不同数据分布下的稳健性,远胜于那些在单一数据集上“过拟合”的复杂模型。</w:t>
      </w:r>
    </w:p>
    <w:p w14:paraId="4910887B">
      <w:pPr>
        <w:pStyle w:val="19"/>
        <w:numPr>
          <w:ilvl w:val="0"/>
          <w:numId w:val="2"/>
        </w:numPr>
        <w:spacing w:line="360" w:lineRule="auto"/>
      </w:pPr>
      <w:r>
        <w:rPr>
          <w:rStyle w:val="18"/>
          <w:b/>
          <w:bCs/>
        </w:rPr>
        <w:t>Tan et al. (2022) [2]</w:t>
      </w:r>
      <w:r>
        <w:t>: 该研究旨在解决血管被病变遮挡或干扰的难题。因此,除了在DRIVE、STARE、CHASE_DB1和HRF上证明其基础性能外,作者还特意在多个包含挑战性临床图像的数据集(如UoA-DR, IOSTAR, RFMiD)上进行测试。通过在这些充满病变、图像质量不佳的数据集上取得优异表现,有力地证明了其SkelCon网络在复杂真实临床场景下的有效性和鲁棒性。</w:t>
      </w:r>
    </w:p>
    <w:p w14:paraId="775E801C">
      <w:pPr>
        <w:pStyle w:val="19"/>
        <w:numPr>
          <w:ilvl w:val="0"/>
          <w:numId w:val="2"/>
        </w:numPr>
        <w:spacing w:line="360" w:lineRule="auto"/>
      </w:pPr>
      <w:r>
        <w:rPr>
          <w:rStyle w:val="18"/>
          <w:b/>
          <w:bCs/>
        </w:rPr>
        <w:t>Xu et al. (2022) [3]</w:t>
      </w:r>
      <w:r>
        <w:t>: 这篇论文提出了一种新颖的对比学习策略。作者主要在DRIVE和CHASE_DB1这两个标准数据集上进行了详尽的</w:t>
      </w:r>
      <w:r>
        <w:rPr>
          <w:highlight w:val="yellow"/>
        </w:rPr>
        <w:t>消融实验</w:t>
      </w:r>
      <w:r>
        <w:t>。通过在这些公认的基准上与其他SOTA方法进行“公平竞赛”,并展示其方法在分割精度上的提升,清晰地验证了其提出的局部区域和跨数据集对比学习策略的有效性。</w:t>
      </w:r>
    </w:p>
    <w:p w14:paraId="4AE2ABD4">
      <w:pPr>
        <w:pStyle w:val="19"/>
        <w:numPr>
          <w:ilvl w:val="0"/>
          <w:numId w:val="2"/>
        </w:numPr>
        <w:spacing w:line="360" w:lineRule="auto"/>
      </w:pPr>
      <w:r>
        <w:rPr>
          <w:rStyle w:val="18"/>
          <w:b/>
          <w:bCs/>
        </w:rPr>
        <w:t>Lin et al. (2023) [4]</w:t>
      </w:r>
      <w:r>
        <w:t>: 作为将Transformer架构引入该领域的代表作,该研究需要在标准数据集上证明其相对于传统CNN架构(如U-Net)的优势。因此,作者在DRIVE, STARE和CHASE_DB1上进行了全面的性能对比,通过量化指标的提升,证明了其SGAT-Net利用Transformer捕捉长程依赖关系的能力,从而在血管分割任务上实现了更高的精度。</w:t>
      </w:r>
    </w:p>
    <w:p w14:paraId="637EA274">
      <w:pPr>
        <w:pStyle w:val="19"/>
        <w:numPr>
          <w:ilvl w:val="0"/>
          <w:numId w:val="2"/>
        </w:numPr>
        <w:spacing w:line="360" w:lineRule="auto"/>
      </w:pPr>
      <w:r>
        <w:rPr>
          <w:rStyle w:val="18"/>
          <w:b/>
          <w:bCs/>
        </w:rPr>
        <w:t>Hu et al. (2024) [5]</w:t>
      </w:r>
      <w:r>
        <w:t>: 这篇论文直接聚焦于“域泛化”这一前沿难题。其评估策略完全围绕跨数据集测试展开。作者会将一个或多个数据集作为“源域”(训练),然后将模型在完全不同的“目标域”(测试)上进行评估,例如使用DRIVE训练,在STARE和CHASE_DB1上测试。通过展示其模型在目标域上的性能衰减远小于其他方法,作者强有力地证明了其基于Hessian向量场的方法在学习领域不变特征、提升泛化能力方面的巨大价值。</w:t>
      </w:r>
    </w:p>
    <w:p w14:paraId="240B25EA">
      <w:pPr>
        <w:pStyle w:val="15"/>
        <w:spacing w:before="0" w:after="60" w:line="360" w:lineRule="auto"/>
      </w:pPr>
    </w:p>
    <w:p w14:paraId="6B52B975">
      <w:pPr>
        <w:pStyle w:val="13"/>
        <w:spacing w:line="360" w:lineRule="auto"/>
      </w:pPr>
      <w:r>
        <w:t>结论</w:t>
      </w:r>
    </w:p>
    <w:p w14:paraId="3651B011">
      <w:pPr>
        <w:pStyle w:val="14"/>
        <w:spacing w:line="360" w:lineRule="auto"/>
      </w:pPr>
      <w:r>
        <w:t>从经典的三大基准(DRIVE, STARE, CHASE_DB1)到更新、更大、更具挑战性的数据集(HRF, FIVES等),眼底视网膜血管分割的数据集生态正在不断发展。它们不仅是评估算法性能的标尺,更成为驱动研究方向的引擎。五篇核心论文通过精心设计的数据集评估策略,清晰地定位并验证了各自的创新点:从追求模型效率与泛化能力[1, 5],到提升在病理图像上的鲁棒性[2],再到探索新的学习策略[3]和网络架构[4]。对这些数据集及其在评估中作用的理解,是把握该领域研究脉络和前沿动态的关键。</w:t>
      </w:r>
    </w:p>
    <w:p w14:paraId="7A5A54A5">
      <w:pPr>
        <w:pStyle w:val="15"/>
        <w:spacing w:before="0" w:after="60" w:line="360" w:lineRule="auto"/>
      </w:pPr>
    </w:p>
    <w:p w14:paraId="13AC5030">
      <w:pPr>
        <w:pStyle w:val="13"/>
        <w:spacing w:line="360" w:lineRule="auto"/>
      </w:pPr>
      <w:r>
        <w:t>参考文献</w:t>
      </w:r>
    </w:p>
    <w:p w14:paraId="75C14BC0">
      <w:pPr>
        <w:pStyle w:val="14"/>
        <w:spacing w:line="360" w:lineRule="auto"/>
      </w:pPr>
      <w:r>
        <w:t xml:space="preserve">[1] A. Galdran, A. Anjos, J. Dolz, H. Chakor, H. Lombaert, and I. Ben Ayed, "State-of-the-art retinal vessel segmentation with minimalistic models," </w:t>
      </w:r>
      <w:r>
        <w:rPr>
          <w:rStyle w:val="20"/>
          <w:i/>
          <w:iCs/>
        </w:rPr>
        <w:t>Scientific Reports</w:t>
      </w:r>
      <w:r>
        <w:t>, vol. 12, no. 1, p. 6174, Apr. 2022.</w:t>
      </w:r>
    </w:p>
    <w:p w14:paraId="0A114807">
      <w:pPr>
        <w:pStyle w:val="15"/>
        <w:spacing w:before="0" w:after="60" w:line="360" w:lineRule="auto"/>
      </w:pPr>
    </w:p>
    <w:p w14:paraId="02E867E4">
      <w:pPr>
        <w:pStyle w:val="14"/>
        <w:spacing w:line="360" w:lineRule="auto"/>
      </w:pPr>
      <w:r>
        <w:t xml:space="preserve">[2] Y. Tan, K.-F. Yang, S.-X. Zhao, and Y.-J. Li, "Retinal vessel segmentation with skeletal prior and contrastive loss," </w:t>
      </w:r>
      <w:r>
        <w:rPr>
          <w:rStyle w:val="20"/>
          <w:i/>
          <w:iCs/>
        </w:rPr>
        <w:t>IEEE Transactions on Medical Imaging</w:t>
      </w:r>
      <w:r>
        <w:t>, vol. 41, no. 9, pp. 2238–2251, Sep. 2022.</w:t>
      </w:r>
    </w:p>
    <w:p w14:paraId="3CA3E279">
      <w:pPr>
        <w:pStyle w:val="15"/>
        <w:spacing w:before="0" w:after="60" w:line="360" w:lineRule="auto"/>
      </w:pPr>
    </w:p>
    <w:p w14:paraId="6A1D5B6F">
      <w:pPr>
        <w:pStyle w:val="14"/>
        <w:spacing w:line="360" w:lineRule="auto"/>
      </w:pPr>
      <w:r>
        <w:t xml:space="preserve">[3] R. Xu, J. Zhao, X. Ye, P. Wu, Z. Wang, H. Li, and Y.-W. Chen, "Local-region and cross-dataset contrastive learning for retinal vessel segmentation," in </w:t>
      </w:r>
      <w:r>
        <w:rPr>
          <w:rStyle w:val="20"/>
          <w:i/>
          <w:iCs/>
        </w:rPr>
        <w:t>Medical Image Computing and Computer-Assisted Intervention – MICCAI 2022</w:t>
      </w:r>
      <w:r>
        <w:t>, Cham, 2022, pp. 589–599.</w:t>
      </w:r>
    </w:p>
    <w:p w14:paraId="657DC500">
      <w:pPr>
        <w:pStyle w:val="15"/>
        <w:spacing w:before="0" w:after="60" w:line="360" w:lineRule="auto"/>
      </w:pPr>
    </w:p>
    <w:p w14:paraId="7EA74F6A">
      <w:pPr>
        <w:pStyle w:val="14"/>
        <w:spacing w:line="360" w:lineRule="auto"/>
      </w:pPr>
      <w:r>
        <w:t xml:space="preserve">[4] J. Lin, X. Huang, H. Zhou, Y. Wang, and Q. Zhang, "Stimulus-guided adaptive transformer network for retinal blood vessel segmentation in fundus images," </w:t>
      </w:r>
      <w:r>
        <w:rPr>
          <w:rStyle w:val="20"/>
          <w:i/>
          <w:iCs/>
        </w:rPr>
        <w:t>Medical Image Analysis</w:t>
      </w:r>
      <w:r>
        <w:t>, vol. 89, p. 102929, Oct. 2023.</w:t>
      </w:r>
    </w:p>
    <w:p w14:paraId="7275C6BD">
      <w:pPr>
        <w:pStyle w:val="15"/>
        <w:spacing w:before="0" w:after="60" w:line="360" w:lineRule="auto"/>
      </w:pPr>
    </w:p>
    <w:p w14:paraId="2A27C14C">
      <w:pPr>
        <w:pStyle w:val="14"/>
        <w:spacing w:line="360" w:lineRule="auto"/>
      </w:pPr>
      <w:r>
        <w:t xml:space="preserve">[5] D. Hu, H. Li, H. Liu, and I. Oguz, "Domain generalization for retinal vessel segmentation via Hessian-based vector field," </w:t>
      </w:r>
      <w:r>
        <w:rPr>
          <w:rStyle w:val="20"/>
          <w:i/>
          <w:iCs/>
        </w:rPr>
        <w:t>Medical Image Analysis</w:t>
      </w:r>
      <w:r>
        <w:t>, vol. 95, p. 103164, Jul. 2024.</w:t>
      </w:r>
    </w:p>
    <w:p w14:paraId="0A4EFF59">
      <w:pPr>
        <w:pStyle w:val="4"/>
        <w:bidi w:val="0"/>
        <w:rPr>
          <w:rFonts w:hint="default" w:ascii="Calibri" w:hAnsi="Calibri" w:eastAsia="宋体" w:cs="Calibri"/>
          <w:b w:val="0"/>
          <w:bCs w:val="0"/>
          <w:sz w:val="28"/>
          <w:szCs w:val="28"/>
          <w:lang w:val="en-US" w:eastAsia="zh-CN"/>
        </w:rPr>
      </w:pPr>
    </w:p>
    <w:sectPr>
      <w:footerReference r:id="rId7" w:type="first"/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567" w:right="567" w:bottom="567" w:left="567" w:header="170" w:footer="567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683B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B0F8D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B0F8D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2655E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26E161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26E161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A69D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C552A8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5ZfpshAgAAYgQAAA4AAABkcnMvZTJvRG9jLnhtbK1UTY/aMBC9V+p/&#10;sHwvCVS7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N5Zfps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C552A8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E7B32">
    <w:pPr>
      <w:pStyle w:val="7"/>
      <w:pBdr>
        <w:bottom w:val="single" w:color="auto" w:sz="4" w:space="0"/>
      </w:pBdr>
      <w:jc w:val="lef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Retinal Blood Vessel Segmentation Datasets</w:t>
    </w:r>
    <w:r>
      <w:rPr>
        <w:rFonts w:hint="default"/>
        <w:lang w:val="en-US" w:eastAsia="zh-CN"/>
      </w:rPr>
      <w:t xml:space="preserve">                </w:t>
    </w:r>
    <w:r>
      <w:rPr>
        <w:rFonts w:hint="eastAsia"/>
        <w:lang w:val="en-US" w:eastAsia="zh-CN"/>
      </w:rPr>
      <w:t xml:space="preserve"> </w:t>
    </w:r>
    <w:r>
      <w:rPr>
        <w:rFonts w:hint="default"/>
        <w:lang w:val="en-US" w:eastAsia="zh-CN"/>
      </w:rPr>
      <w:t xml:space="preserve">                                         </w:t>
    </w:r>
    <w:r>
      <w:rPr>
        <w:rFonts w:hint="eastAsia" w:eastAsiaTheme="minorEastAsia"/>
        <w:lang w:eastAsia="zh-CN"/>
      </w:rPr>
      <w:drawing>
        <wp:inline distT="0" distB="0" distL="114300" distR="114300">
          <wp:extent cx="1225550" cy="435610"/>
          <wp:effectExtent l="0" t="0" r="19050" b="21590"/>
          <wp:docPr id="9" name="Picture 7" descr="UOA_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7" descr="UOA_Image1"/>
                  <pic:cNvPicPr>
                    <a:picLocks noChangeAspect="1"/>
                  </pic:cNvPicPr>
                </pic:nvPicPr>
                <pic:blipFill>
                  <a:blip r:embed="rId1"/>
                  <a:srcRect l="9217" t="9765" r="9929" b="9529"/>
                  <a:stretch>
                    <a:fillRect/>
                  </a:stretch>
                </pic:blipFill>
                <pic:spPr>
                  <a:xfrm>
                    <a:off x="0" y="0"/>
                    <a:ext cx="1225550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322A8">
    <w:pPr>
      <w:pStyle w:val="7"/>
      <w:pBdr>
        <w:bottom w:val="single" w:color="auto" w:sz="4" w:space="0"/>
      </w:pBdr>
      <w:jc w:val="left"/>
      <w:rPr>
        <w:rFonts w:hint="default" w:eastAsiaTheme="minorEastAsia"/>
        <w:lang w:val="en-US"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225550" cy="435610"/>
          <wp:effectExtent l="0" t="0" r="19050" b="21590"/>
          <wp:docPr id="10" name="Picture 7" descr="UOA_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7" descr="UOA_Image1"/>
                  <pic:cNvPicPr>
                    <a:picLocks noChangeAspect="1"/>
                  </pic:cNvPicPr>
                </pic:nvPicPr>
                <pic:blipFill>
                  <a:blip r:embed="rId1"/>
                  <a:srcRect l="9217" t="9765" r="9929" b="9529"/>
                  <a:stretch>
                    <a:fillRect/>
                  </a:stretch>
                </pic:blipFill>
                <pic:spPr>
                  <a:xfrm>
                    <a:off x="0" y="0"/>
                    <a:ext cx="1225550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default"/>
        <w:lang w:val="en-US" w:eastAsia="zh-CN"/>
      </w:rPr>
      <w:t xml:space="preserve">                                                        </w:t>
    </w:r>
    <w:r>
      <w:rPr>
        <w:rFonts w:hint="eastAsia"/>
        <w:lang w:val="en-US" w:eastAsia="zh-CN"/>
      </w:rPr>
      <w:t xml:space="preserve"> </w:t>
    </w:r>
    <w:r>
      <w:rPr>
        <w:rFonts w:hint="default"/>
        <w:lang w:val="en-US" w:eastAsia="zh-CN"/>
      </w:rPr>
      <w:t xml:space="preserve"> </w:t>
    </w:r>
    <w:r>
      <w:rPr>
        <w:rFonts w:hint="eastAsia"/>
        <w:lang w:val="en-US" w:eastAsia="zh-CN"/>
      </w:rPr>
      <w:t>Retinal Blood Vessel Segmentation Datasets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7F5526"/>
    <w:multiLevelType w:val="multilevel"/>
    <w:tmpl w:val="CE7F5526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abstractNum w:abstractNumId="1">
    <w:nsid w:val="FF3E7DF7"/>
    <w:multiLevelType w:val="multilevel"/>
    <w:tmpl w:val="FF3E7DF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evenAndOddHeaders w:val="1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1F78B8"/>
    <w:rsid w:val="0AED0D7B"/>
    <w:rsid w:val="18E63CDA"/>
    <w:rsid w:val="1C7F7BF5"/>
    <w:rsid w:val="237558E5"/>
    <w:rsid w:val="2BFDA286"/>
    <w:rsid w:val="2F76B55A"/>
    <w:rsid w:val="374F92AB"/>
    <w:rsid w:val="3BE7DD56"/>
    <w:rsid w:val="57FF8E7A"/>
    <w:rsid w:val="5B9AF5EF"/>
    <w:rsid w:val="5BFFC316"/>
    <w:rsid w:val="5ECF0FEC"/>
    <w:rsid w:val="5FBA0D15"/>
    <w:rsid w:val="5FDCACE6"/>
    <w:rsid w:val="5FEF0F6B"/>
    <w:rsid w:val="61FFD367"/>
    <w:rsid w:val="67758F17"/>
    <w:rsid w:val="6AE7DA74"/>
    <w:rsid w:val="6E25492C"/>
    <w:rsid w:val="6ED68D2C"/>
    <w:rsid w:val="6FE74A58"/>
    <w:rsid w:val="71FE547B"/>
    <w:rsid w:val="75F6A7D8"/>
    <w:rsid w:val="77D7608B"/>
    <w:rsid w:val="7BDFD076"/>
    <w:rsid w:val="7BF74DEA"/>
    <w:rsid w:val="7BFD7BB8"/>
    <w:rsid w:val="7C4B9810"/>
    <w:rsid w:val="7FDF2CB8"/>
    <w:rsid w:val="7FED4F35"/>
    <w:rsid w:val="7FFD1DDC"/>
    <w:rsid w:val="9697EB4B"/>
    <w:rsid w:val="97FFC8A8"/>
    <w:rsid w:val="AB6FA102"/>
    <w:rsid w:val="ABDF8565"/>
    <w:rsid w:val="ADCF1F9D"/>
    <w:rsid w:val="AF1F78B8"/>
    <w:rsid w:val="AFEF76E0"/>
    <w:rsid w:val="B5F19567"/>
    <w:rsid w:val="B5F2A382"/>
    <w:rsid w:val="BDFFA207"/>
    <w:rsid w:val="BF776B69"/>
    <w:rsid w:val="BF7F2070"/>
    <w:rsid w:val="DCDF2D82"/>
    <w:rsid w:val="DDBF2F56"/>
    <w:rsid w:val="DEFFE3AD"/>
    <w:rsid w:val="DF475B44"/>
    <w:rsid w:val="DF7A0544"/>
    <w:rsid w:val="DFC5DF23"/>
    <w:rsid w:val="ECFE45A1"/>
    <w:rsid w:val="EDEBC3FC"/>
    <w:rsid w:val="EEB58E90"/>
    <w:rsid w:val="F67FE2E2"/>
    <w:rsid w:val="F7FECA03"/>
    <w:rsid w:val="F8E64463"/>
    <w:rsid w:val="FB39758E"/>
    <w:rsid w:val="FBF710E0"/>
    <w:rsid w:val="FCFFEE24"/>
    <w:rsid w:val="FEED8067"/>
    <w:rsid w:val="FF53E0C4"/>
    <w:rsid w:val="FF974A58"/>
    <w:rsid w:val="FFD99D71"/>
    <w:rsid w:val="FFEA41EC"/>
    <w:rsid w:val="FFEE8139"/>
    <w:rsid w:val="FFFCA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next w:val="1"/>
    <w:unhideWhenUsed/>
    <w:qFormat/>
    <w:uiPriority w:val="0"/>
    <w:pPr>
      <w:keepNext/>
      <w:keepLines/>
      <w:widowControl w:val="0"/>
      <w:suppressLineNumbers w:val="0"/>
      <w:spacing w:before="280" w:beforeAutospacing="0" w:after="290" w:afterAutospacing="0" w:line="374" w:lineRule="auto"/>
      <w:jc w:val="left"/>
      <w:outlineLvl w:val="3"/>
    </w:pPr>
    <w:rPr>
      <w:rFonts w:hint="default" w:ascii="Calibri" w:hAnsi="Calibri" w:eastAsia="宋体" w:cs="Times New Roman"/>
      <w:b/>
      <w:bCs/>
      <w:kern w:val="0"/>
      <w:sz w:val="28"/>
      <w:szCs w:val="28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oc 4"/>
    <w:basedOn w:val="1"/>
    <w:next w:val="1"/>
    <w:uiPriority w:val="0"/>
    <w:pPr>
      <w:ind w:left="1260" w:leftChars="600"/>
    </w:pPr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customStyle="1" w:styleId="12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sz w:val="36"/>
      <w:szCs w:val="36"/>
    </w:rPr>
  </w:style>
  <w:style w:type="paragraph" w:customStyle="1" w:styleId="13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customStyle="1" w:styleId="14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15">
    <w:name w:val="MdSpace"/>
    <w:qFormat/>
    <w:uiPriority w:val="0"/>
    <w:pPr>
      <w:spacing w:before="0" w:after="0"/>
    </w:pPr>
    <w:rPr>
      <w:rFonts w:asciiTheme="minorHAnsi" w:hAnsiTheme="minorHAnsi" w:eastAsiaTheme="minorEastAsia" w:cstheme="minorBidi"/>
      <w:sz w:val="12"/>
      <w:szCs w:val="12"/>
    </w:rPr>
  </w:style>
  <w:style w:type="paragraph" w:customStyle="1" w:styleId="16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</w:rPr>
  </w:style>
  <w:style w:type="paragraph" w:customStyle="1" w:styleId="17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8">
    <w:name w:val="MdStrong"/>
    <w:unhideWhenUsed/>
    <w:qFormat/>
    <w:uiPriority w:val="99"/>
    <w:rPr>
      <w:b/>
      <w:bCs/>
    </w:rPr>
  </w:style>
  <w:style w:type="paragraph" w:customStyle="1" w:styleId="19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20">
    <w:name w:val="MdEm"/>
    <w:unhideWhenUsed/>
    <w:qFormat/>
    <w:uiPriority w:val="99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</Words>
  <Characters>132</Characters>
  <Lines>1</Lines>
  <Paragraphs>1</Paragraphs>
  <TotalTime>0</TotalTime>
  <ScaleCrop>false</ScaleCrop>
  <LinksUpToDate>false</LinksUpToDate>
  <CharactersWithSpaces>144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2025-06-10T10:07:00Z</dcterms:created>
  <dc:creator>Lxc</dc:creator>
  <cp:lastModifiedBy>Lxc</cp:lastModifiedBy>
  <dcterms:modified xsi:type="dcterms:W3CDTF">2025-12-15T11:02:53Z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6C28F9E633C7CA6DED583E68938C9130_41</vt:lpwstr>
  </property>
</Properties>
</file>