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the Academic Editor</w:t>
      </w:r>
    </w:p>
    <w:p>
      <w:r>
        <w:rPr>
          <w:b w:val="0"/>
          <w:sz w:val="22"/>
        </w:rPr>
        <w:t>Dear Academic Editor,</w:t>
      </w:r>
    </w:p>
    <w:p>
      <w:r>
        <w:rPr>
          <w:b w:val="0"/>
          <w:sz w:val="22"/>
        </w:rPr>
        <w:t>Thank you for the opportunity to revise our manuscript, "Reflect-Guard: Enhancing LLM Safeguards against Adversarial Prompts via Logical Self-Reflection," and for the four reviewers' detailed and constructive feedback. We have carried out a substantial revision addressing every comment raised, and we summarize the major changes below. Full point-by-point responses to each reviewer, quoting the exact updated manuscript text for every change, are enclosed as separate documents (Response to Reviewer 1-4).</w:t>
      </w:r>
    </w:p>
    <w:p>
      <w:r>
        <w:rPr>
          <w:b w:val="0"/>
          <w:sz w:val="22"/>
        </w:rPr>
        <w:t>The four reviews converged heavily on a small number of core concerns, which we address as follows.</w:t>
      </w:r>
    </w:p>
    <w:p>
      <w:r>
        <w:rPr>
          <w:b/>
          <w:sz w:val="26"/>
        </w:rPr>
        <w:t>1. The central claim did not match the ablation results (Reviewers 1, 2, 3)</w:t>
      </w:r>
    </w:p>
    <w:p>
      <w:r>
        <w:rPr>
          <w:b w:val="0"/>
          <w:sz w:val="22"/>
        </w:rPr>
        <w:t>All three reviewers independently identified the same core problem: the manuscript's headline numbers were reported against the un-fine-tuned baseline (Condition 0), while the paper's own five-condition ablation shows that Condition B (supervised fine-tuning on verdict labels only, with no reflection) achieves higher overall F1 and JailbreakBench detection than the full Reflect-Guard model. We have rewritten the Abstract, Introduction, Results, Ablation Study, and Conclusion so that Condition B is the primary point of comparison for aggregate metrics, and reflection's contribution is reframed as a precision-recall trade-off---a targeted, statistically significant gain in adversarial-subset recall (+7.6 pp), at a cost to overall F1 and precision relative to SFT alone---rather than an unconditional improvement. We also removed all unqualified "state-of-the-art" language.</w:t>
      </w:r>
    </w:p>
    <w:p>
      <w:r>
        <w:rPr>
          <w:b/>
          <w:sz w:val="26"/>
        </w:rPr>
        <w:t>2. Missing competitive baselines (Reviewers 1, 2, 3, 4)</w:t>
      </w:r>
    </w:p>
    <w:p>
      <w:r>
        <w:rPr>
          <w:b w:val="0"/>
          <w:sz w:val="22"/>
        </w:rPr>
        <w:t>All four reviewers asked for comparison against published safety classifiers rather than only the model's own un-fine-tuned self, with WildGuard specifically flagged as a conspicuous omission (Reviewer 1). We added a new subsection evaluating four external classifiers head-to-head on the same three benchmarks: WildGuard, PromptGuard, OpenAI's moderation classifier, and a prompted GPT-4o-mini reasoning baseline. The resulting picture is nuanced and reported honestly in both directions: WildGuard leads on aggregate WildGuardTest metrics, but Reflect-Guard achieves the highest adversarial-subset recall and the highest finance-benchmark F1 of every classifier evaluated. ShieldGemma could not be evaluated within this revision window (its checkpoints remain a gated HuggingFace repository), which is stated explicitly in the manuscript.</w:t>
      </w:r>
    </w:p>
    <w:p>
      <w:r>
        <w:rPr>
          <w:b/>
          <w:sz w:val="26"/>
        </w:rPr>
        <w:t>3. Insufficient statistical rigor (Reviewers 2, 3, 4)</w:t>
      </w:r>
    </w:p>
    <w:p>
      <w:r>
        <w:rPr>
          <w:b w:val="0"/>
          <w:sz w:val="22"/>
        </w:rPr>
        <w:t>We retrained the two central conditions under three random seeds and report mean, standard deviation, and paired significance tests (t-test and Wilcoxon) for every benchmark. We additionally added exact confusion matrices (TP/FP/FN/TN) for every condition and benchmark, a complementary bootstrap significance test on the single-seed results, and 95% bootstrap confidence intervals directly in the main result tables, including the finance benchmark, which Reviewer 3 specifically flagged as needing this given its smaller sample size.</w:t>
      </w:r>
    </w:p>
    <w:p>
      <w:r>
        <w:rPr>
          <w:b/>
          <w:sz w:val="26"/>
        </w:rPr>
        <w:t>4. Reproducibility and data-leakage documentation (Reviewers 2, 3, 4)</w:t>
      </w:r>
    </w:p>
    <w:p>
      <w:r>
        <w:rPr>
          <w:b w:val="0"/>
          <w:sz w:val="22"/>
        </w:rPr>
        <w:t>The Data Availability Statement was expanded from "available upon reasonable request" to itemize every training/evaluation script, teacher prompt configuration, reflection annotation file, per-example raw prediction, random seed, and baseline output, alongside the exact dataset identifiers, sampling procedure, and software versions. We also added an exact-match/near-duplicate leakage check between training and evaluation data, and a further check for shared jailbreak behaviors between the AdvBench training source and JailbreakBench (Reviewer 3's specific request), which surfaced a real, previously unquantified overlap at the behavior-goal level that we now report as an explicit caveat on the JailbreakBench results.</w:t>
      </w:r>
    </w:p>
    <w:p>
      <w:r>
        <w:rPr>
          <w:b/>
          <w:sz w:val="26"/>
        </w:rPr>
        <w:t>5. Finance benchmark generalization claims (Reviewers 2, 3)</w:t>
      </w:r>
    </w:p>
    <w:p>
      <w:r>
        <w:rPr>
          <w:b w:val="0"/>
          <w:sz w:val="22"/>
        </w:rPr>
        <w:t>We added an analysis splitting the finance benchmark's results by provenance (WildGuardMix-sourced vs. GPT-4o-mini-generated), full disclosure of how synthetic labels were assigned, and bootstrap confidence intervals given the benchmark's smaller size. We softened the "domain-invariant" claim accordingly and state independent human validation of the benchmark as future work rather than attempted and left incomplete.</w:t>
      </w:r>
    </w:p>
    <w:p>
      <w:r>
        <w:rPr>
          <w:b/>
          <w:sz w:val="26"/>
        </w:rPr>
        <w:t>6. Reflection quality, terminology, and factual corrections (Reviewers 1, 2, 3)</w:t>
      </w:r>
    </w:p>
    <w:p>
      <w:pPr>
        <w:pStyle w:val="ListBullet"/>
      </w:pPr>
      <w:r>
        <w:rPr>
          <w:b/>
        </w:rPr>
        <w:t xml:space="preserve">Reflection self-consistency: </w:t>
      </w:r>
      <w:r>
        <w:t>A new automated check finds the reflection's own stated conclusion is self-consistent with the emitted verdict in 99.91% of cases (effectively 100% after accounting for two extraction artifacts), while we are explicit that this measures self-consistency, not factual correctness.</w:t>
      </w:r>
    </w:p>
    <w:p>
      <w:pPr>
        <w:pStyle w:val="ListBullet"/>
      </w:pPr>
      <w:r>
        <w:rPr>
          <w:b/>
        </w:rPr>
        <w:t xml:space="preserve">Terminology: </w:t>
      </w:r>
      <w:r>
        <w:t>"Attack success rate" is replaced throughout with "guard bypass rate," with the distinction from a downstream target model's attack success explicitly defined at first use.</w:t>
      </w:r>
    </w:p>
    <w:p>
      <w:pPr>
        <w:pStyle w:val="ListBullet"/>
      </w:pPr>
      <w:r>
        <w:rPr>
          <w:b/>
        </w:rPr>
        <w:t xml:space="preserve">False-positive discrepancy: </w:t>
      </w:r>
      <w:r>
        <w:t>The previously inconsistent false-positive counts across sections are reconciled to a single figure (142 total, 109 newly introduced relative to baseline), reported consistently throughout.</w:t>
      </w:r>
    </w:p>
    <w:p>
      <w:pPr>
        <w:pStyle w:val="ListBullet"/>
      </w:pPr>
      <w:r>
        <w:rPr>
          <w:b/>
        </w:rPr>
        <w:t xml:space="preserve">Adapter size: </w:t>
      </w:r>
      <w:r>
        <w:t>The LoRA adapter's disk size (~84 MB) is now correctly explained as consistent with ~42M parameters stored in bf16 precision.</w:t>
      </w:r>
    </w:p>
    <w:p>
      <w:r>
        <w:rPr>
          <w:b/>
          <w:sz w:val="26"/>
        </w:rPr>
        <w:t>7. Related work positioning, manuscript length, and organization (Reviewer 4)</w:t>
      </w:r>
    </w:p>
    <w:p>
      <w:r>
        <w:rPr>
          <w:b w:val="0"/>
          <w:sz w:val="22"/>
        </w:rPr>
        <w:t>We added recent 2025 reasoning-based safety literature (GuardReasoner, SaRO, Constitutional Classifiers, Think Twice Generate Once) with substantive discussion of how Reflect-Guard's design differs, and expanded the Introduction to state this positioning explicitly. We also carried out a general length-reduction and de-duplication pass across the manuscript: the Abstract was tightened from 505 to 284 words, the Limitations section was consolidated from eleven overlapping sub-paragraphs to eight, several of the longest paragraphs elsewhere were split for readability, and self-referential commentary about the revision process itself (e.g., "no longer an open item") was removed throughout, since that information belongs in this letter rather than the manuscript.</w:t>
      </w:r>
    </w:p>
    <w:p>
      <w:r>
        <w:rPr>
          <w:b/>
          <w:sz w:val="26"/>
        </w:rPr>
        <w:t>Items only partially addressed</w:t>
      </w:r>
    </w:p>
    <w:p>
      <w:r>
        <w:rPr>
          <w:b w:val="0"/>
          <w:sz w:val="22"/>
        </w:rPr>
        <w:t>In the interest of transparency, four requests could not be fully completed within this revision, each requiring either GPU resources beyond what was available or new data collection, and each is stated as a specific, named limitation in the manuscript rather than omitted or implied to be resolved: (i) ShieldGemma remains untested, blocked on gated model access; (ii) a training-set-size sensitivity analysis and (iii) LoRA-rank/reflection-length/training-epoch/teacher-model ablations were not run; and (iv) evaluation on additional high-risk domains beyond finance (e.g., healthcare, cybersecurity, legal) was not undertaken. We believe none of these affect the paper's central, now-reframed claim, but we flag them here as we did to each reviewer individually.</w:t>
      </w:r>
    </w:p>
    <w:p>
      <w:r>
        <w:rPr>
          <w:b w:val="0"/>
          <w:sz w:val="22"/>
        </w:rPr>
        <w:t>We are grateful to the reviewers for pushing this manuscript toward a more accurate and defensible account of what the ablation study actually shows, and we believe the revised version is substantially stronger as a result. We hope it is now suitable for publication, and we remain happy to address any further concerns.</w:t>
      </w:r>
    </w:p>
    <w:p>
      <w:r>
        <w:rPr>
          <w:b w:val="0"/>
          <w:sz w:val="22"/>
        </w:rPr>
        <w:t>Sincerely,</w:t>
      </w:r>
    </w:p>
    <w:p>
      <w:r>
        <w:rPr>
          <w:b w:val="0"/>
          <w:sz w:val="22"/>
        </w:rPr>
        <w:t>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