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3 Comments</w:t>
      </w:r>
    </w:p>
    <w:p>
      <w:r>
        <w:rPr>
          <w:b/>
          <w:sz w:val="26"/>
        </w:rPr>
        <w:t>1. Summary</w:t>
      </w:r>
    </w:p>
    <w:p>
      <w:r>
        <w:rPr>
          <w:sz w:val="22"/>
        </w:rPr>
        <w:t>Thank you very much for this exceptionally thorough review. The ten major comments, six minor comments, and detailed language corrections have substantially improved the manuscript's rigor, precision, and reproducibility. We address each below, with the corresponding location and exact updated text in the revised manuscript.</w:t>
      </w:r>
    </w:p>
    <w:p>
      <w:r>
        <w:rPr>
          <w:b/>
          <w:sz w:val="26"/>
        </w:rPr>
        <w:t>2. Point-by-point response to Comments and Suggestions for Authors</w:t>
      </w:r>
    </w:p>
    <w:p>
      <w:r>
        <w:rPr>
          <w:b/>
        </w:rPr>
        <w:t xml:space="preserve">Comments 1: </w:t>
      </w:r>
      <w:r>
        <w:t>The main claim is not fully supported by the ablation study. [...] The authors should: include the labels-only SFT model in the main result tables, abstract, and conclusion; reframe the contribution as a change in the precision-recall trade-off; clearly distinguish improvements caused by SFT from improvements caused specifically by reflection; remove state-of-the-art improvements unless compared with competing classifiers.</w:t>
      </w:r>
    </w:p>
    <w:p>
      <w:r>
        <w:rPr>
          <w:b/>
        </w:rPr>
        <w:t xml:space="preserve">Response 1: </w:t>
      </w:r>
      <w:r>
        <w:rPr>
          <w:color w:val="C00000"/>
        </w:rPr>
        <w:t>Agree with all four sub-requests. Condition B is now the primary point of comparison throughout the Abstract, Introduction, Results, Ablation Study, and Conclusion:</w:t>
      </w:r>
    </w:p>
    <w:p>
      <w:pPr>
        <w:ind w:left="360"/>
      </w:pPr>
      <w:r>
        <w:rPr>
          <w:i/>
          <w:color w:val="C00000"/>
          <w:sz w:val="21"/>
        </w:rPr>
        <w:t>"Among our three conditions, Condition B, not Reflect-Guard, achieves the best overall F1 (0.860) and accuracy (0.877), confirming that supervised fine-tuning (SFT) on the decision boundary---not reflection---is responsible for the majority of the aggregate improvement over the un-fine-tuned baseline."</w:t>
      </w:r>
    </w:p>
    <w:p>
      <w:r>
        <w:rPr>
          <w:sz w:val="22"/>
        </w:rPr>
        <w:t>The ablation section is now organized explicitly around distinguishing these two sources of improvement, with subsection headers naming each directly, and the unqualified state-of-the-art claim is removed throughout, replaced by a narrow claim scoped to the new competitive-baseline results (Comment 5 below).</w:t>
      </w:r>
    </w:p>
    <w:p/>
    <w:p>
      <w:r>
        <w:rPr>
          <w:b/>
        </w:rPr>
        <w:t xml:space="preserve">Comments 2: </w:t>
      </w:r>
      <w:r>
        <w:t>Statistical uncertainty is not reported. Please report: results from several training seeds; mean values and standard deviations; bootstrap confidence intervals for F1, recall, and precision; confusion matrices or exact TP/FP/TN/FN counts; statistical tests for the differences between the baseline, labels-only SFT, and Reflect-Guard. This is especially important for the finance benchmark.</w:t>
      </w:r>
    </w:p>
    <w:p>
      <w:r>
        <w:rPr>
          <w:b/>
        </w:rPr>
        <w:t xml:space="preserve">Response 2: </w:t>
      </w:r>
      <w:r>
        <w:rPr>
          <w:color w:val="C00000"/>
        </w:rPr>
        <w:t>Agree, and all five items were added. Conditions B and D were retrained under three seeds with paired t-tests and Wilcoxon tests:</w:t>
      </w:r>
    </w:p>
    <w:p>
      <w:pPr>
        <w:ind w:left="360"/>
      </w:pPr>
      <w:r>
        <w:rPr>
          <w:i/>
          <w:color w:val="C00000"/>
          <w:sz w:val="21"/>
        </w:rPr>
        <w:t>"Condition B's overall-F1 advantage over D is statistically significant (WGT overall and adversarial F1: p=0.018), holding on every one of the three seeds. Condition D's adversarial-recall advantage over B is separately significant (p=0.027), also holding on all three seeds."</w:t>
      </w:r>
    </w:p>
    <w:p>
      <w:r>
        <w:rPr>
          <w:sz w:val="22"/>
        </w:rPr>
        <w:t>We additionally added exact confusion matrices (TP/FP/FN/TN) for Conditions 0, B, and D on all three benchmarks, and a complementary paired bootstrap significance test on the single seed-42 run testing all three pairwise comparisons. Bootstrap 95% confidence intervals were added directly to the WildGuardTest, JailbreakBench, and finance result tables. Per your note on the finance benchmark specifically:</w:t>
      </w:r>
    </w:p>
    <w:p>
      <w:pPr>
        <w:ind w:left="360"/>
      </w:pPr>
      <w:r>
        <w:rPr>
          <w:i/>
          <w:color w:val="C00000"/>
          <w:sz w:val="21"/>
        </w:rPr>
        <w:t>"Because this is our smallest evaluation set (n=329), we report bootstrap 95% confidence intervals directly in the table rather than the point estimates alone: recall (0.713-0.821 vs. 0.821-0.908) and F1 (0.833-0.902 vs. 0.902-0.952) do not overlap between the baseline and Reflect-Guard."</w:t>
      </w:r>
    </w:p>
    <w:p/>
    <w:p>
      <w:r>
        <w:rPr>
          <w:b/>
        </w:rPr>
        <w:t xml:space="preserve">Comments 3: </w:t>
      </w:r>
      <w:r>
        <w:t>The finance benchmark provides limited evidence of real-world generalization. [...] The claim of domain-invariant adversarial-framing patterns is too strong with the current evidence.</w:t>
      </w:r>
    </w:p>
    <w:p>
      <w:r>
        <w:rPr>
          <w:b/>
        </w:rPr>
        <w:t xml:space="preserve">Response 3: </w:t>
      </w:r>
      <w:r>
        <w:rPr>
          <w:color w:val="C00000"/>
        </w:rPr>
        <w:t>Agree the synthetic majority is a real limitation. We added a provenance-split analysis, full disclosure of the labeling procedure, and softened the domain-invariance claim:</w:t>
      </w:r>
    </w:p>
    <w:p>
      <w:pPr>
        <w:ind w:left="360"/>
      </w:pPr>
      <w:r>
        <w:rPr>
          <w:i/>
          <w:color w:val="C00000"/>
          <w:sz w:val="21"/>
        </w:rPr>
        <w:t>"Splitting results by provenance argues against pure stylistic mimicry: the gain is larger on the 60 real examples (F1 +12.6 pp) than the 269 synthetic ones (+4.0 pp)---but this rests on only 60 real examples, and more fundamentally, neither portion's labels have been independently human-verified."</w:t>
      </w:r>
    </w:p>
    <w:p>
      <w:pPr>
        <w:ind w:left="360"/>
      </w:pPr>
      <w:r>
        <w:rPr>
          <w:i/>
          <w:color w:val="C00000"/>
          <w:sz w:val="21"/>
        </w:rPr>
        <w:t>"The harmful/benign label for each of the 269 GPT-4o-mini-generated examples is assigned by construction, not by a separate annotation or classification step. No human or model annotator subsequently reviews or verifies that the generated content actually matches its assigned label. Consequently, an inter-annotator agreement statistic does not apply here."</w:t>
      </w:r>
    </w:p>
    <w:p>
      <w:r>
        <w:rPr>
          <w:sz w:val="22"/>
        </w:rPr>
        <w:t>We also checked for duplicates within the synthetic portion (zero found), alongside the training-data leakage check (Comment 4). The domain-invariant claim is now explicitly hedged:</w:t>
      </w:r>
    </w:p>
    <w:p>
      <w:pPr>
        <w:ind w:left="360"/>
      </w:pPr>
      <w:r>
        <w:rPr>
          <w:i/>
          <w:color w:val="C00000"/>
          <w:sz w:val="21"/>
        </w:rPr>
        <w:t>"consistent with adversarial-framing patterns that are at least partly domain-invariant rather than purely domain-specific. We hold this interpretation to the caveats in Section 7.6: the benchmark's synthetic majority and unverified labels mean this is evidence toward domain generalization, not a settled demonstration of it."</w:t>
      </w:r>
    </w:p>
    <w:p>
      <w:r>
        <w:rPr>
          <w:sz w:val="22"/>
        </w:rPr>
        <w:t>Independent expert validation, human-written or real-world prompts, and an independently created finance dataset were not feasible within this revision and are stated as future work. The benchmark, generation prompts, and labels are released in full.</w:t>
      </w:r>
    </w:p>
    <w:p/>
    <w:p>
      <w:r>
        <w:rPr>
          <w:b/>
        </w:rPr>
        <w:t xml:space="preserve">Comments 4: </w:t>
      </w:r>
      <w:r>
        <w:t>Potential overlap and data leakage must be examined. Please report: exact versions and splits of all datasets; exact sampling procedure; exact-match and near-duplicate checks; checks for shared jailbreak templates or attack suffixes; the number of examples removed after deduplication.</w:t>
      </w:r>
    </w:p>
    <w:p>
      <w:r>
        <w:rPr>
          <w:b/>
        </w:rPr>
        <w:t xml:space="preserve">Response 4: </w:t>
      </w:r>
      <w:r>
        <w:rPr>
          <w:color w:val="C00000"/>
        </w:rPr>
        <w:t>Agree, and all five items were added, including one check (shared attack templates/suffixes) that surfaced a genuine, previously unquantified finding. Exact dataset identifiers and sampling procedure:</w:t>
      </w:r>
    </w:p>
    <w:p>
      <w:pPr>
        <w:ind w:left="360"/>
      </w:pPr>
      <w:r>
        <w:rPr>
          <w:i/>
          <w:color w:val="C00000"/>
          <w:sz w:val="21"/>
        </w:rPr>
        <w:t>"Training prompts are drawn from two HuggingFace datasets, allenai/wildguardmix (config wildguardtrain) and walledai/AdvBench. Sampling is deterministic given RANDOM_SEED=42: each source is shuffled under the fixed seed and truncated to 500 examples, then the combined 1,000-example set is shuffled again."</w:t>
      </w:r>
    </w:p>
    <w:p>
      <w:r>
        <w:rPr>
          <w:sz w:val="22"/>
        </w:rPr>
        <w:t>Exact-match and near-duplicate checks:</w:t>
      </w:r>
    </w:p>
    <w:p>
      <w:pPr>
        <w:ind w:left="360"/>
      </w:pPr>
      <w:r>
        <w:rPr>
          <w:i/>
          <w:color w:val="C00000"/>
          <w:sz w:val="21"/>
        </w:rPr>
        <w:t>"We checked for exact and near-duplicate prompts (normalized whitespace/case; exact match plus a 6-gram prefilter and difflib.SequenceMatcher ratio &gt;= 0.85) between the 1,000 training examples and all three evaluation sets, finding zero matches of either kind---no training examples required removal."</w:t>
      </w:r>
    </w:p>
    <w:p>
      <w:r>
        <w:rPr>
          <w:sz w:val="22"/>
        </w:rPr>
        <w:t>For shared jailbreak templates and attack suffixes specifically, we went beyond a string-level check and directly quantified behavior-level overlap between AdvBench (a training source) and JailbreakBench (an evaluation set):</w:t>
      </w:r>
    </w:p>
    <w:p>
      <w:pPr>
        <w:ind w:left="360"/>
      </w:pPr>
      <w:r>
        <w:rPr>
          <w:i/>
          <w:color w:val="C00000"/>
          <w:sz w:val="21"/>
        </w:rPr>
        <w:t>"of JailbreakBench's 104 unique behaviors, 10 (9.6%) exactly match a training prompt and a further 5 (4.8%, ratio &gt;= 0.85) are near-duplicates. This overlap is at the behavior-goal level only: the full attack prompts, including GCG's optimized suffixes and PAIR's rewritten framings, yield zero exact matches against training. Roughly one in seven underlying behaviors (15/104, 14.4%) were present in training, differently worded and unwrapped, with the correct harmful label attached."</w:t>
      </w:r>
    </w:p>
    <w:p>
      <w:r>
        <w:rPr>
          <w:sz w:val="22"/>
        </w:rPr>
        <w:t>We report this directly as a quantified caveat on the JailbreakBench results, particularly Condition B's 100% detection rate, rather than letting the string-level check alone stand as a stronger independence claim than it supports.</w:t>
      </w:r>
    </w:p>
    <w:p/>
    <w:p>
      <w:r>
        <w:rPr>
          <w:b/>
        </w:rPr>
        <w:t xml:space="preserve">Comments 5: </w:t>
      </w:r>
      <w:r>
        <w:t>The baseline comparison should be strengthened. [...] A matched operating-point comparison would also be useful.</w:t>
      </w:r>
    </w:p>
    <w:p>
      <w:r>
        <w:rPr>
          <w:b/>
        </w:rPr>
        <w:t xml:space="preserve">Response 5: </w:t>
      </w:r>
      <w:r>
        <w:rPr>
          <w:color w:val="C00000"/>
        </w:rPr>
        <w:t>Agree. We added WildGuard, PromptGuard, OpenAI's moderation classifier, and a prompted GPT-4o-mini reasoning baseline, with the full five-condition internal comparison (0/A/B/C/D) reported in a dedicated table and cross-referenced from the main result tables. On the matched-operating-point suggestion, we determined this cannot currently be constructed from our stored results and say so directly rather than approximate it:</w:t>
      </w:r>
    </w:p>
    <w:p>
      <w:pPr>
        <w:ind w:left="360"/>
      </w:pPr>
      <w:r>
        <w:rPr>
          <w:i/>
          <w:color w:val="C00000"/>
          <w:sz w:val="21"/>
        </w:rPr>
        <w:t>"a matched-operating-point analysis (precision at fixed recall, or vice versa, between B and D) would distinguish whether reflection changes the model's ranking of examples or simply shifts a scalar threshold, but requires per-token log-probabilities at the verdict position that we did not record in any run underlying this paper---a concrete, well-specified direction for future work."</w:t>
      </w:r>
    </w:p>
    <w:p/>
    <w:p>
      <w:r>
        <w:rPr>
          <w:b/>
        </w:rPr>
        <w:t xml:space="preserve">Comments 6: </w:t>
      </w:r>
      <w:r>
        <w:t>Attack success rate is potentially misleading. [...] A clearer term would be guard bypass rate, classifier false-negative rate, or harmful-prompt miss rate.</w:t>
      </w:r>
    </w:p>
    <w:p>
      <w:r>
        <w:rPr>
          <w:b/>
        </w:rPr>
        <w:t xml:space="preserve">Response 6: </w:t>
      </w:r>
      <w:r>
        <w:rPr>
          <w:color w:val="C00000"/>
        </w:rPr>
        <w:t>Agree. We adopted guard bypass rate (GBR) throughout the abstract, results, tables, and conclusion, with the distinction stated explicitly at first use:</w:t>
      </w:r>
    </w:p>
    <w:p>
      <w:pPr>
        <w:ind w:left="360"/>
      </w:pPr>
      <w:r>
        <w:rPr>
          <w:i/>
          <w:color w:val="C00000"/>
          <w:sz w:val="21"/>
        </w:rPr>
        <w:t>"We use guard bypass rate rather than the more common attack success rate deliberately: GBR measures only whether a prompt evades this safety classifier, not whether a downstream target LLM was actually induced to produce a prohibited response, which is what attack success rate conventionally denotes."</w:t>
      </w:r>
    </w:p>
    <w:p/>
    <w:p>
      <w:r>
        <w:rPr>
          <w:b/>
        </w:rPr>
        <w:t xml:space="preserve">Comments 7: </w:t>
      </w:r>
      <w:r>
        <w:t>The efficiency claims require measurements. [...] There is also a possible inconsistency between approximately 42 million trainable parameters and an adapter size of approximately 42 MB.</w:t>
      </w:r>
    </w:p>
    <w:p>
      <w:r>
        <w:rPr>
          <w:b/>
        </w:rPr>
        <w:t xml:space="preserve">Response 7: </w:t>
      </w:r>
      <w:r>
        <w:rPr>
          <w:color w:val="C00000"/>
        </w:rPr>
        <w:t>Agree. We measured latency, throughput, and GPU memory directly on 200 fixed prompts, back-to-back on identical hardware for all three conditions:</w:t>
      </w:r>
    </w:p>
    <w:p>
      <w:pPr>
        <w:ind w:left="360"/>
      </w:pPr>
      <w:r>
        <w:rPr>
          <w:i/>
          <w:color w:val="C00000"/>
          <w:sz w:val="21"/>
        </w:rPr>
        <w:t>"Reflect-Guard's median single-request latency (5.05s) is 17.9x that of the clean baseline (0.28s) and 14.3x that of Condition B (0.35s); batched throughput falls by a similar factor. This overhead is substantial, not negligible, and is the direct, measured cost of the adversarial-recall gain."</w:t>
      </w:r>
    </w:p>
    <w:p>
      <w:r>
        <w:rPr>
          <w:sz w:val="22"/>
        </w:rPr>
        <w:t>The adapter-size inconsistency is corrected and explained:</w:t>
      </w:r>
    </w:p>
    <w:p>
      <w:pPr>
        <w:ind w:left="360"/>
      </w:pPr>
      <w:r>
        <w:rPr>
          <w:i/>
          <w:color w:val="C00000"/>
          <w:sz w:val="21"/>
        </w:rPr>
        <w:t>"The LoRA adapter checkpoint (adapter_model.safetensors) is ~84 MB on disk---consistent with ~42M trainable parameters stored in bf16 (2 bytes/parameter)."</w:t>
      </w:r>
    </w:p>
    <w:p/>
    <w:p>
      <w:r>
        <w:rPr>
          <w:b/>
        </w:rPr>
        <w:t xml:space="preserve">Comments 8: </w:t>
      </w:r>
      <w:r>
        <w:t>Several counts and dataset descriptions are inconsistent. [...] The definition of the adversarial subset is also unclear.</w:t>
      </w:r>
    </w:p>
    <w:p>
      <w:r>
        <w:rPr>
          <w:b/>
        </w:rPr>
        <w:t xml:space="preserve">Response 8: </w:t>
      </w:r>
      <w:r>
        <w:rPr>
          <w:color w:val="C00000"/>
        </w:rPr>
        <w:t>Agree. We traced the false-positive discrepancy to two analysis scripts reading two different baseline files, and now report one reconciled count everywhere the paper discusses it:</w:t>
      </w:r>
    </w:p>
    <w:p>
      <w:pPr>
        <w:ind w:left="360"/>
      </w:pPr>
      <w:r>
        <w:rPr>
          <w:i/>
          <w:color w:val="C00000"/>
          <w:sz w:val="21"/>
        </w:rPr>
        <w:t>"Reflect-Guard (Condition D) has 142 total false positives on WildGuardTest versus 44 for the clean baseline (Condition 0); exact-prompt matching shows these are not simply additive (33 shared, 11 resolved, 109 newly introduced: 142=33+109, 44=33+11)."</w:t>
      </w:r>
    </w:p>
    <w:p>
      <w:r>
        <w:rPr>
          <w:sz w:val="22"/>
        </w:rPr>
        <w:t>The adversarial subset is now precisely defined with its harmful/benign composition:</w:t>
      </w:r>
    </w:p>
    <w:p>
      <w:pPr>
        <w:ind w:left="360"/>
      </w:pPr>
      <w:r>
        <w:rPr>
          <w:i/>
          <w:color w:val="C00000"/>
          <w:sz w:val="21"/>
        </w:rPr>
        <w:t>"The adversarial subset (n = 796) contains prompts that disguise intent through various obfuscation techniques and is itself a mix of ground-truth labels: 341 harmful (adversarially-framed jailbreak attempts) and 455 benign (prompts that adopt an adversarial-looking surface structure, e.g., role-play or security-related framing, without harmful intent)."</w:t>
      </w:r>
    </w:p>
    <w:p/>
    <w:p>
      <w:r>
        <w:rPr>
          <w:b/>
        </w:rPr>
        <w:t xml:space="preserve">Comments 9: </w:t>
      </w:r>
      <w:r>
        <w:t>Some causal explanations are stronger than the evidence supports. [...] The proposed cause requires additional evidence.</w:t>
      </w:r>
    </w:p>
    <w:p>
      <w:r>
        <w:rPr>
          <w:b/>
        </w:rPr>
        <w:t xml:space="preserve">Response 9: </w:t>
      </w:r>
      <w:r>
        <w:rPr>
          <w:color w:val="C00000"/>
        </w:rPr>
        <w:t>Agree. The relevant passage was rewritten to report the finding as an observation rather than an established mechanism:</w:t>
      </w:r>
    </w:p>
    <w:p>
      <w:pPr>
        <w:ind w:left="360"/>
      </w:pPr>
      <w:r>
        <w:rPr>
          <w:i/>
          <w:color w:val="C00000"/>
          <w:sz w:val="21"/>
        </w:rPr>
        <w:t>"A plausible explanation is that the reflection objective forces the model to represent adversarial framing explicitly as a supervised intermediate output, which SFT-only training does not require---but we have not verified this mechanism directly (e.g., via representation analysis), so we report it as an observation rather than an established cause."</w:t>
      </w:r>
    </w:p>
    <w:p/>
    <w:p>
      <w:r>
        <w:rPr>
          <w:b/>
        </w:rPr>
        <w:t xml:space="preserve">Comments 10: </w:t>
      </w:r>
      <w:r>
        <w:t>Reproducibility must be improved. [...] The paper should also explain how malformed outputs, missing verdicts, or outputs containing both safe and unsafe were handled.</w:t>
      </w:r>
    </w:p>
    <w:p>
      <w:r>
        <w:rPr>
          <w:b/>
        </w:rPr>
        <w:t xml:space="preserve">Response 10: </w:t>
      </w:r>
      <w:r>
        <w:rPr>
          <w:color w:val="C00000"/>
        </w:rPr>
        <w:t>Agree. The Data Availability Statement (previously available upon reasonable request) now itemizes every training/evaluation script, teacher prompt configuration, reflection annotation file, per-example raw prediction, seed, and baseline output, and states the exact parsing rule:</w:t>
      </w:r>
    </w:p>
    <w:p>
      <w:pPr>
        <w:ind w:left="360"/>
      </w:pPr>
      <w:r>
        <w:rPr>
          <w:i/>
          <w:color w:val="C00000"/>
          <w:sz w:val="21"/>
        </w:rPr>
        <w:t>"Model outputs are parsed deterministically: after stripping any reflection block, an output is labeled harmful if and only if the remaining text begins with unsafe; any other case, including malformed generations, missing verdict tokens, or inference errors, defaults to unharmful."</w:t>
      </w:r>
    </w:p>
    <w:p>
      <w:r>
        <w:rPr>
          <w:sz w:val="22"/>
        </w:rPr>
        <w:t>This resolves the both-safe-and-unsafe case directly: only the leading token after the reflection block governs the label. The QLoRA adapter weights are not yet uploaded to a model hub; we commit to releasing them alongside the accepted version of the paper.</w:t>
      </w:r>
    </w:p>
    <w:p/>
    <w:p>
      <w:r>
        <w:rPr>
          <w:b/>
          <w:sz w:val="24"/>
        </w:rPr>
        <w:t>Minor comments</w:t>
      </w:r>
    </w:p>
    <w:p>
      <w:r>
        <w:rPr>
          <w:b/>
        </w:rPr>
        <w:t xml:space="preserve">Comments: </w:t>
      </w:r>
      <w:r>
        <w:t>(i) end-user visibility of reflections; (ii) prefer generated safety rationale over chain-of-thought; (iii) risk of a correct verdict resting on a fabricated reflection; (iv) map the finance taxonomy to S1-S13; (v) report direct vs. adversarially-framed performance separately in the finance benchmark; (vi) correct reference access dates, DOIs, and placeholder journal text.</w:t>
      </w:r>
    </w:p>
    <w:p>
      <w:r>
        <w:rPr>
          <w:b/>
        </w:rPr>
        <w:t xml:space="preserve">Response: </w:t>
      </w:r>
      <w:r>
        <w:rPr>
          <w:color w:val="C00000"/>
        </w:rPr>
        <w:t>(i) and (iii) are addressed together in a Limitations paragraph on reflection correctness and end-user exposure, which also reports a new, automated self-consistency check: 99.91% of reflections' own stated conclusions agree with the emitted verdict, while being explicit that this measures self-consistency, not faithfulness. (ii) generated safety rationale is used throughout in place of chain-of-thought, with the distinction stated explicitly in the Introduction. (iv) a table maps each FIN-1 to FIN-7 category to its nearest S1-S13 category. (v) we determined this breakdown is not currently supportable: the adversarial-vs-direct flag was only annotated for the 60 real FIN-1 examples, not the 209 synthetic FIN-2 to FIN-7 examples, so we report this as a stated limitation rather than an unreliable breakdown. (vi) reference access dates are corrected to real dates; we found no placeholder DOI text or missing-journal text remaining in the bibliography.</w:t>
      </w:r>
    </w:p>
    <w:p>
      <w:r>
        <w:rPr>
          <w:b/>
          <w:sz w:val="26"/>
        </w:rPr>
        <w:t>3. Response to Comments on the Quality of English Language</w:t>
      </w:r>
    </w:p>
    <w:p>
      <w:r>
        <w:rPr>
          <w:sz w:val="22"/>
        </w:rPr>
        <w:t>Thank you for the specific corrections. All were made:</w:t>
      </w:r>
    </w:p>
    <w:p>
      <w:r>
        <w:rPr>
          <w:b/>
        </w:rPr>
        <w:t xml:space="preserve">sciencetific workflows -&gt; </w:t>
      </w:r>
      <w:r>
        <w:rPr>
          <w:color w:val="C00000"/>
        </w:rPr>
        <w:t>scientific workflows</w:t>
      </w:r>
    </w:p>
    <w:p>
      <w:r>
        <w:rPr>
          <w:b/>
        </w:rPr>
        <w:t xml:space="preserve">same latency characteristics as the base model -&gt; </w:t>
      </w:r>
      <w:r>
        <w:rPr>
          <w:color w:val="C00000"/>
        </w:rPr>
        <w:t>a direct, measured latency comparison, stating the overhead is substantial, not negligible</w:t>
      </w:r>
    </w:p>
    <w:p>
      <w:r>
        <w:rPr>
          <w:b/>
        </w:rPr>
        <w:t xml:space="preserve">attack success rate -&gt; </w:t>
      </w:r>
      <w:r>
        <w:rPr>
          <w:color w:val="C00000"/>
        </w:rPr>
        <w:t>guard bypass rate, with the distinction from target-LLM attack success explicitly defined at first use</w:t>
      </w:r>
    </w:p>
    <w:p>
      <w:r>
        <w:rPr>
          <w:b/>
        </w:rPr>
        <w:t xml:space="preserve">state-of-the-art improvements -&gt; </w:t>
      </w:r>
      <w:r>
        <w:rPr>
          <w:color w:val="C00000"/>
        </w:rPr>
        <w:t>a narrow claim scoped to the competitive-baseline comparison</w:t>
      </w:r>
    </w:p>
    <w:p>
      <w:r>
        <w:rPr>
          <w:b/>
        </w:rPr>
        <w:t xml:space="preserve">inconsistent spelling, e.g. favours -&gt; </w:t>
      </w:r>
      <w:r>
        <w:rPr>
          <w:color w:val="C00000"/>
        </w:rPr>
        <w:t>standardized to American spelling throughout, e.g. favors</w:t>
      </w:r>
    </w:p>
    <w:p>
      <w:r>
        <w:rPr>
          <w:sz w:val="22"/>
        </w:rPr>
        <w:t>We also shortened the long discussion paragraphs in the Ablation Study and Limitations sections, splitting several into shorter, single-topic paragraphs, and confirmed no remaining instance of overclaiming phrasing such as this supports our interpretation (the finance qualitative-example discussion is now hedged as consistent with... rather than purely domain-specific). Adversarial and the adversarial subset's harmful/benign composition are now defined precisely at first use and used consistently thereafter.</w:t>
      </w:r>
    </w:p>
    <w:p>
      <w:r>
        <w:rPr>
          <w:b/>
          <w:sz w:val="26"/>
        </w:rPr>
        <w:t>4. Additional clarifications</w:t>
      </w:r>
    </w:p>
    <w:p>
      <w:r>
        <w:rPr>
          <w:sz w:val="22"/>
        </w:rPr>
        <w:t>Several items raised in this review remain explicitly unresolved rather than claimed as complete: independent human validation of the finance benchmark, a matched-operating-point analysis, and a direct-vs-adversarially-framed performance breakdown for the finance benchmark's synthetic categories. Each is stated as a specific, named limitation in the revised manuscript rather than omitted or implied to be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