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 4 Comments</w:t>
      </w:r>
    </w:p>
    <w:p>
      <w:r>
        <w:rPr>
          <w:b/>
          <w:sz w:val="26"/>
        </w:rPr>
        <w:t>1. Summary</w:t>
      </w:r>
    </w:p>
    <w:p>
      <w:r>
        <w:rPr>
          <w:sz w:val="22"/>
        </w:rPr>
        <w:t>Thank you very much for the positive overall assessment and for the detailed, section-by-section feedback. We address each point below, covering literature positioning, novelty clarification, reproducibility, competitive baselines, statistical rigor, manuscript organization, and references.</w:t>
      </w:r>
    </w:p>
    <w:p>
      <w:r>
        <w:rPr>
          <w:b/>
          <w:sz w:val="26"/>
        </w:rPr>
        <w:t>2. Point-by-point response to Comments and Suggestions for Authors</w:t>
      </w:r>
    </w:p>
    <w:p>
      <w:r>
        <w:rPr>
          <w:b/>
        </w:rPr>
        <w:t xml:space="preserve">Comments 1: </w:t>
      </w:r>
      <w:r>
        <w:t>Introduction: the research gap should be highlighted more explicitly by clearly identifying the limitations of existing LLM safety classifiers and explaining how Reflect-Guard fundamentally differs from recent reasoning-based safety approaches.</w:t>
      </w:r>
    </w:p>
    <w:p>
      <w:r>
        <w:rPr>
          <w:b/>
        </w:rPr>
        <w:t xml:space="preserve">Response 1: </w:t>
      </w:r>
      <w:r>
        <w:rPr>
          <w:color w:val="C00000"/>
        </w:rPr>
        <w:t>Agree. We added a paragraph to the Introduction that names the closest 2025 reasoning-based safety work directly and states precisely how Reflect-Guard's design differs:</w:t>
      </w:r>
    </w:p>
    <w:p>
      <w:pPr>
        <w:ind w:left="360"/>
      </w:pPr>
      <w:r>
        <w:rPr>
          <w:i/>
          <w:color w:val="C00000"/>
          <w:sz w:val="21"/>
        </w:rPr>
        <w:t>"This gap has begun to be addressed by a concurrent line of 2025 work that also trains safety classifiers to reason before verdicting, including GuardReasoner, SaRO, and Think Twice, Generate Once. Reflect-Guard occupies a different point in this design space: rather than large-scale reasoning-trace training or training-free inference-time reflection, we ask whether a much smaller intervention...captures a meaningful fraction of the same benefit, and, critically, whether that benefit is separable from what ordinary label-only fine-tuning already provides."</w:t>
      </w:r>
    </w:p>
    <w:p/>
    <w:p>
      <w:r>
        <w:rPr>
          <w:b/>
        </w:rPr>
        <w:t xml:space="preserve">Comments 2: </w:t>
      </w:r>
      <w:r>
        <w:t>Related Work: include more recent studies (2025-2026) on reasoning-based safety alignment, test-time reasoning, constitutional reasoning, self-verification, and agentic LLM safety.</w:t>
      </w:r>
    </w:p>
    <w:p>
      <w:r>
        <w:rPr>
          <w:b/>
        </w:rPr>
        <w:t xml:space="preserve">Response 2: </w:t>
      </w:r>
      <w:r>
        <w:rPr>
          <w:color w:val="C00000"/>
        </w:rPr>
        <w:t>Agree. We added six verified 2023-2025 references directly on point: GuardReasoner and SaRO (reasoning-trace safety alignment), Constitutional Classifiers (constitution-based self-verification, extending the already-cited Constitutional AI into a deployed jailbreak defense), Think Twice, Generate Once (inference-time self-reflection), TrustLLM (trustworthy-AI framing), and the OpenAI moderation classifier paper (an additional deployed safety classifier, also now used as a competitive baseline, Comment 7). Each is discussed substantively in the text, not only cited in passing:</w:t>
      </w:r>
    </w:p>
    <w:p>
      <w:pPr>
        <w:ind w:left="360"/>
      </w:pPr>
      <w:r>
        <w:rPr>
          <w:i/>
          <w:color w:val="C00000"/>
          <w:sz w:val="21"/>
        </w:rPr>
        <w:t>"GuardReasoner fine-tunes guard models of several scales on a 127K-example reasoning-trace dataset using SFT followed by preference optimization on hard examples, and SaRO similarly combines a reasoning-style supervised warmup with DPO-based safety-oriented reasoning optimization to address both under- and over-alignment. Orthogonal to both, Think Twice, Generate Once shows that progressive self-reflection can reduce attack success rates substantially at inference time alone, with no additional training."</w:t>
      </w:r>
    </w:p>
    <w:p>
      <w:r>
        <w:rPr>
          <w:sz w:val="22"/>
        </w:rPr>
        <w:t>We prioritized a small number of directly relevant, individually verified references over a larger but more loosely relevant set (see Comment 14 on the reference-count request specifically).</w:t>
      </w:r>
    </w:p>
    <w:p/>
    <w:p>
      <w:r>
        <w:rPr>
          <w:b/>
        </w:rPr>
        <w:t xml:space="preserve">Comments 3: </w:t>
      </w:r>
      <w:r>
        <w:t>Novelty Clarification: more clearly distinguish the contributions of knowledge distillation, chain-of-thought self-reflection, and QLoRA fine-tuning. Their individual roles and interactions within Reflect-Guard should be better explained.</w:t>
      </w:r>
    </w:p>
    <w:p>
      <w:r>
        <w:rPr>
          <w:b/>
        </w:rPr>
        <w:t xml:space="preserve">Response 3: </w:t>
      </w:r>
      <w:r>
        <w:rPr>
          <w:color w:val="C00000"/>
        </w:rPr>
        <w:t>Agree. Beyond the existing five-condition ablation, which already isolates each component's contribution empirically (Conditions A/B/C separate prompting, SFT, and label-blind reflection from the full method), we added an explicit statement of how Reflect-Guard's combination differs from related designs that use these same components in different configurations:</w:t>
      </w:r>
    </w:p>
    <w:p>
      <w:pPr>
        <w:ind w:left="360"/>
      </w:pPr>
      <w:r>
        <w:rPr>
          <w:i/>
          <w:color w:val="C00000"/>
          <w:sz w:val="21"/>
        </w:rPr>
        <w:t>"Reflect-Guard differs from all four along the same axis: rather than large-scale reasoning-trace SFT plus preference optimization (GuardReasoner, SaRO), constitution-derived synthetic classifier training (Constitutional Classifiers), or purely inference-time self-reflection with no parameter update (Think Twice), we distill a teacher model's structured reflections into a lightweight LoRA adapter using ordinary supervised fine-tuning on 1,000 examples."</w:t>
      </w:r>
    </w:p>
    <w:p/>
    <w:p>
      <w:r>
        <w:rPr>
          <w:b/>
        </w:rPr>
        <w:t xml:space="preserve">Comments 4: </w:t>
      </w:r>
      <w:r>
        <w:t>Training Dataset: justify why 1,000 examples is sufficient and provide a sensitivity analysis evaluating the impact of different training set sizes.</w:t>
      </w:r>
    </w:p>
    <w:p>
      <w:r>
        <w:rPr>
          <w:b/>
        </w:rPr>
        <w:t xml:space="preserve">Response 4: </w:t>
      </w:r>
      <w:r>
        <w:rPr>
          <w:color w:val="C00000"/>
        </w:rPr>
        <w:t>Partially addressed. We added a qualitative justification for the chosen size and state the sensitivity analysis as a specific, named limitation rather than an implied non-issue, since running it requires GPU retraining at multiple data scales that was not feasible in this revision:</w:t>
      </w:r>
    </w:p>
    <w:p>
      <w:pPr>
        <w:ind w:left="360"/>
      </w:pPr>
      <w:r>
        <w:rPr>
          <w:i/>
          <w:color w:val="C00000"/>
          <w:sz w:val="21"/>
        </w:rPr>
        <w:t>"All results in this paper use exactly 1,000 training examples, chosen as a practical budget rather than justified by a scaling curve...but we have not trained at, e.g., 250, 2,000, or 4,000 examples to check whether the B-vs-D reallocation pattern is stable across data scale or specific to this one operating point."</w:t>
      </w:r>
    </w:p>
    <w:p/>
    <w:p>
      <w:r>
        <w:rPr>
          <w:b/>
        </w:rPr>
        <w:t xml:space="preserve">Comments 5: </w:t>
      </w:r>
      <w:r>
        <w:t>Teacher Model Dependency: discuss the potential bias introduced by GPT-4o-mini as the teacher model and its possible impact on the student model's generalization capability.</w:t>
      </w:r>
    </w:p>
    <w:p>
      <w:r>
        <w:rPr>
          <w:b/>
        </w:rPr>
        <w:t xml:space="preserve">Response 5: </w:t>
      </w:r>
      <w:r>
        <w:rPr>
          <w:color w:val="C00000"/>
        </w:rPr>
        <w:t>Agree. We expanded the existing teacher-bias discussion (Limitations) to connect it directly to the generalization question the comment raises, using the finance zero-shot-transfer result as indirect evidence:</w:t>
      </w:r>
    </w:p>
    <w:p>
      <w:pPr>
        <w:ind w:left="360"/>
      </w:pPr>
      <w:r>
        <w:rPr>
          <w:i/>
          <w:color w:val="C00000"/>
          <w:sz w:val="21"/>
        </w:rPr>
        <w:t>"Systematic biases in GPT-4o-mini's safety judgements may be distilled into the student...the finance-domain results bear indirectly: the adapter improves detection on a domain absent from its training data, which would be surprising if the gain were purely stylistic mimicry rather than a transferable framing-detection capability---though the teacher's own biases could still transfer along with the useful signal, and the two are not distinguishable from our results alone."</w:t>
      </w:r>
    </w:p>
    <w:p/>
    <w:p>
      <w:r>
        <w:rPr>
          <w:b/>
        </w:rPr>
        <w:t xml:space="preserve">Comments 6: </w:t>
      </w:r>
      <w:r>
        <w:t>Experimental Environment: provide more implementation details, including software versions, Hugging Face Transformers version, CUDA version, random seeds, and complete reproducibility information.</w:t>
      </w:r>
    </w:p>
    <w:p>
      <w:r>
        <w:rPr>
          <w:b/>
        </w:rPr>
        <w:t xml:space="preserve">Response 6: </w:t>
      </w:r>
      <w:r>
        <w:rPr>
          <w:color w:val="C00000"/>
        </w:rPr>
        <w:t>Agree. We added the complete software environment to the Method section:</w:t>
      </w:r>
    </w:p>
    <w:p>
      <w:pPr>
        <w:ind w:left="360"/>
      </w:pPr>
      <w:r>
        <w:rPr>
          <w:i/>
          <w:color w:val="C00000"/>
          <w:sz w:val="21"/>
        </w:rPr>
        <w:t>"The full software environment is: Python 3.10, PyTorch 2.2.0 (CUDA 11.8 build), Transformers 4.44.2, PEFT &gt;=0.12.0, bitsandbytes &gt;=0.43.1, TRL 0.9.6, and Accelerate 0.33.0; GPUs were requested with compute capability up to sm_90 (Hopper), since the pinned CUDA 11.8 PyTorch build does not support newer sm_120 (Blackwell) hardware present on the shared cluster used for this work."</w:t>
      </w:r>
    </w:p>
    <w:p>
      <w:r>
        <w:rPr>
          <w:sz w:val="22"/>
        </w:rPr>
        <w:t>All three random seeds used (42, 123, 2024) are documented alongside the multi-seed results, and the full package pin list is released in requirements.txt (data availability statement).</w:t>
      </w:r>
    </w:p>
    <w:p/>
    <w:p>
      <w:r>
        <w:rPr>
          <w:b/>
        </w:rPr>
        <w:t xml:space="preserve">Comments 7: </w:t>
      </w:r>
      <w:r>
        <w:t>Baseline Comparison: additional comparisons with recent LLM safety frameworks such as ShieldGemma, PromptGuard, OpenAI moderation models, or other reasoning-based safety methods would strengthen the experimental validation.</w:t>
      </w:r>
    </w:p>
    <w:p>
      <w:r>
        <w:rPr>
          <w:b/>
        </w:rPr>
        <w:t xml:space="preserve">Response 7: </w:t>
      </w:r>
      <w:r>
        <w:rPr>
          <w:color w:val="C00000"/>
        </w:rPr>
        <w:t>Agree. We added WildGuard, PromptGuard, OpenAI's moderation classifier, and a prompted GPT-4o-mini reasoning-based baseline, evaluated head-to-head on all three benchmarks (Section 7.5):</w:t>
      </w:r>
    </w:p>
    <w:p>
      <w:pPr>
        <w:ind w:left="360"/>
      </w:pPr>
      <w:r>
        <w:rPr>
          <w:i/>
          <w:color w:val="C00000"/>
          <w:sz w:val="21"/>
        </w:rPr>
        <w:t>"adversarial-subset recall is the one metric across every table where Reflect-Guard leads every evaluated classifier, including WildGuard (0.921 vs. 0.827 for WildGuard, 0.636 for the prompted teacher)...WildGuard leads all three of our conditions on aggregate WildGuardTest accuracy, precision, and F1...Reflect-Guard beats the prompted-teacher baseline on every metric across all three benchmarks."</w:t>
      </w:r>
    </w:p>
    <w:p/>
    <w:p>
      <w:r>
        <w:rPr>
          <w:b/>
        </w:rPr>
        <w:t xml:space="preserve">Comments 8: </w:t>
      </w:r>
      <w:r>
        <w:t>Statistical Analysis: include confidence intervals, multiple independent runs, or statistical significance tests to demonstrate the robustness of the reported performance gains.</w:t>
      </w:r>
    </w:p>
    <w:p>
      <w:r>
        <w:rPr>
          <w:b/>
        </w:rPr>
        <w:t xml:space="preserve">Response 8: </w:t>
      </w:r>
      <w:r>
        <w:rPr>
          <w:color w:val="C00000"/>
        </w:rPr>
        <w:t>Agree. We retrained Conditions B and D under three seeds with paired significance tests, added exact confusion matrices and a complementary single-run bootstrap significance test, and added bootstrap 95% confidence intervals to the main result tables:</w:t>
      </w:r>
    </w:p>
    <w:p>
      <w:pPr>
        <w:ind w:left="360"/>
      </w:pPr>
      <w:r>
        <w:rPr>
          <w:i/>
          <w:color w:val="C00000"/>
          <w:sz w:val="21"/>
        </w:rPr>
        <w:t>"Condition B's overall-F1 advantage over D is statistically significant (WGT overall and adversarial F1: p=0.018), holding on every one of the three seeds...Condition D's adversarial-recall advantage over B is separately significant (p=0.027), also holding on all three seeds."</w:t>
      </w:r>
    </w:p>
    <w:p/>
    <w:p>
      <w:r>
        <w:rPr>
          <w:b/>
        </w:rPr>
        <w:t xml:space="preserve">Comments 9: </w:t>
      </w:r>
      <w:r>
        <w:t>Ablation Study: additional experiments analyzing the influence of LoRA rank, reflection length, training epochs, and different teacher models would provide deeper insights.</w:t>
      </w:r>
    </w:p>
    <w:p>
      <w:r>
        <w:rPr>
          <w:b/>
        </w:rPr>
        <w:t xml:space="preserve">Response 9: </w:t>
      </w:r>
      <w:r>
        <w:rPr>
          <w:color w:val="C00000"/>
        </w:rPr>
        <w:t>Partially addressed. These require additional GPU training runs beyond this revision's scope and are stated as a specific, named limitation:</w:t>
      </w:r>
    </w:p>
    <w:p>
      <w:pPr>
        <w:ind w:left="360"/>
      </w:pPr>
      <w:r>
        <w:rPr>
          <w:i/>
          <w:color w:val="C00000"/>
          <w:sz w:val="21"/>
        </w:rPr>
        <w:t>"We also have not run LoRA-rank, reflection-length, training-epoch, or teacher-model ablations beyond the five conditions in Table 7...a direct test would compare teacher models (GPT-4, Claude, etc.); we have not conducted this and list it as future work."</w:t>
      </w:r>
    </w:p>
    <w:p/>
    <w:p>
      <w:r>
        <w:rPr>
          <w:b/>
        </w:rPr>
        <w:t xml:space="preserve">Comments 10: </w:t>
      </w:r>
      <w:r>
        <w:t>Computational Cost: provide a quantitative comparison of inference latency, GPU memory consumption, or computational overhead relative to the baseline classifier.</w:t>
      </w:r>
    </w:p>
    <w:p>
      <w:r>
        <w:rPr>
          <w:b/>
        </w:rPr>
        <w:t xml:space="preserve">Response 10: </w:t>
      </w:r>
      <w:r>
        <w:rPr>
          <w:color w:val="C00000"/>
        </w:rPr>
        <w:t>Agree. We measured latency (P50/P95/P99), throughput, tokens generated, and GPU memory directly, back-to-back on identical hardware, for the baseline, SFT-only, and Reflect-Guard conditions:</w:t>
      </w:r>
    </w:p>
    <w:p>
      <w:pPr>
        <w:ind w:left="360"/>
      </w:pPr>
      <w:r>
        <w:rPr>
          <w:i/>
          <w:color w:val="C00000"/>
          <w:sz w:val="21"/>
        </w:rPr>
        <w:t>"Reflect-Guard's median single-request latency (5.05s) is 17.9x that of the clean baseline (0.28s) and 14.3x that of Condition B (0.35s); batched throughput falls by a similar factor...This overhead is substantial, not negligible, and is the direct, measured cost of the adversarial-recall gain."</w:t>
      </w:r>
    </w:p>
    <w:p/>
    <w:p>
      <w:r>
        <w:rPr>
          <w:b/>
        </w:rPr>
        <w:t xml:space="preserve">Comments 11: </w:t>
      </w:r>
      <w:r>
        <w:t>Generalization Evaluation: additional experiments on other high-risk domains such as healthcare, cybersecurity, or legal applications would further demonstrate domain generalization capability.</w:t>
      </w:r>
    </w:p>
    <w:p>
      <w:r>
        <w:rPr>
          <w:b/>
        </w:rPr>
        <w:t xml:space="preserve">Response 11: </w:t>
      </w:r>
      <w:r>
        <w:rPr>
          <w:color w:val="C00000"/>
        </w:rPr>
        <w:t>Partially addressed. Constructing a comparable benchmark for another domain is a similar scope of work to the finance benchmark itself and was not undertaken in this revision; we state this directly as a named limitation rather than implying the finance result generalizes further than it does:</w:t>
      </w:r>
    </w:p>
    <w:p>
      <w:pPr>
        <w:ind w:left="360"/>
      </w:pPr>
      <w:r>
        <w:rPr>
          <w:i/>
          <w:color w:val="C00000"/>
          <w:sz w:val="21"/>
        </w:rPr>
        <w:t>"Finance is also the only high-risk domain tested beyond WildGuardTest/JailbreakBench; healthcare, cybersecurity, and legal domains each have their own professional-pretext adversarial patterns that may or may not transfer similarly, and building a comparable benchmark for any of them is future work of a similar scope."</w:t>
      </w:r>
    </w:p>
    <w:p/>
    <w:p>
      <w:r>
        <w:rPr>
          <w:b/>
        </w:rPr>
        <w:t xml:space="preserve">Comments 12: </w:t>
      </w:r>
      <w:r>
        <w:t>Manuscript Organization and Formatting: several sections are overly descriptive, and some paragraphs are excessively long. Paragraph indentation, spacing, and overall formatting should be revised for consistency with the journal template.</w:t>
      </w:r>
    </w:p>
    <w:p>
      <w:r>
        <w:rPr>
          <w:b/>
        </w:rPr>
        <w:t xml:space="preserve">Response 12: </w:t>
      </w:r>
      <w:r>
        <w:rPr>
          <w:color w:val="C00000"/>
        </w:rPr>
        <w:t>Agree on paragraph length. We split several of the longest paragraphs in the manuscript into shorter, single-topic paragraphs (most notably in the Limitations and Ablation Study sections, and the Abstract, which was tightened from 505 to 284 words), and consolidated eleven Limitations sub-paragraphs into eight to remove overlapping explanations. Indentation and spacing follow the MDPI class file (Definitions/mdpi.cls) unmodified throughout.</w:t>
      </w:r>
    </w:p>
    <w:p/>
    <w:p>
      <w:r>
        <w:rPr>
          <w:b/>
        </w:rPr>
        <w:t xml:space="preserve">Comments 13: </w:t>
      </w:r>
      <w:r>
        <w:t>Conclusion Section: replace the section title Conclusions with Conclusion and Future Directions. The section should be organized into three paragraphs: (i) summary of findings, (ii) practical significance and advantages, (iii) future research directions.</w:t>
      </w:r>
    </w:p>
    <w:p>
      <w:r>
        <w:rPr>
          <w:b/>
        </w:rPr>
        <w:t xml:space="preserve">Response 13: </w:t>
      </w:r>
      <w:r>
        <w:rPr>
          <w:color w:val="C00000"/>
        </w:rPr>
        <w:t>This was already implemented in the manuscript version this review evaluated: the section is titled "Conclusion and Future Directions" and organized into exactly the three paragraphs requested. No further change was needed here.</w:t>
      </w:r>
    </w:p>
    <w:p/>
    <w:p>
      <w:r>
        <w:rPr>
          <w:b/>
        </w:rPr>
        <w:t xml:space="preserve">Comments 14: </w:t>
      </w:r>
      <w:r>
        <w:t>References: enrich the bibliography with more than 30 recent and high-quality references, particularly from 2024-2026, covering LLM safety, adversarial prompt detection, reasoning-based alignment, jailbreak defenses, self-reflection mechanisms, and trustworthy AI.</w:t>
      </w:r>
    </w:p>
    <w:p>
      <w:r>
        <w:rPr>
          <w:b/>
        </w:rPr>
        <w:t xml:space="preserve">Response 14: </w:t>
      </w:r>
      <w:r>
        <w:rPr>
          <w:color w:val="C00000"/>
        </w:rPr>
        <w:t>Partially addressed by design choice. We added six new references (bringing the total to 33), each individually verified (author list, venue, arXiv identifier) and substantively discussed in the text rather than listed in passing: GuardReasoner, SaRO, Constitutional Classifiers, Think Twice Generate Once, TrustLLM, and the OpenAI moderation classifier paper (Comment 2). We chose not to pad the bibliography to a specific count with loosely related citations, since doing so would not serve the positioning purpose the comment describes; every reference we added is cited with specific, substantive discussion in Related Work, the Introduction, or the new competitive-baseline section.</w:t>
      </w:r>
    </w:p>
    <w:p/>
    <w:p>
      <w:r>
        <w:rPr>
          <w:b/>
        </w:rPr>
        <w:t xml:space="preserve">Comments 15: </w:t>
      </w:r>
      <w:r>
        <w:t>Writing Quality: several sections contain repetitive explanations and lengthy discussions. A careful language revision would improve readability, conciseness, and overall presentation quality.</w:t>
      </w:r>
    </w:p>
    <w:p>
      <w:r>
        <w:rPr>
          <w:b/>
        </w:rPr>
        <w:t xml:space="preserve">Response 15: </w:t>
      </w:r>
      <w:r>
        <w:rPr>
          <w:color w:val="C00000"/>
        </w:rPr>
        <w:t>Agree. Beyond the paragraph-length changes in Comment 12, we removed duplicated content and self-referential revision commentary throughout, for example: the Introduction previously restated, near-verbatim, a comparison to GuardReasoner/SaRO/Think Twice that also appeared in Related Work; this is now stated briefly in the Introduction with the full comparison left to Related Work alone. We also removed phrases such as "no longer an open item" and "removed from earlier drafts of this paper" throughout, which described the revision process itself rather than informing a reader of the published version.</w:t>
      </w:r>
    </w:p>
    <w:p>
      <w:r>
        <w:rPr>
          <w:b/>
          <w:sz w:val="26"/>
        </w:rPr>
        <w:t>3. Response to Comments on the Quality of English Language</w:t>
      </w:r>
    </w:p>
    <w:p>
      <w:r>
        <w:rPr>
          <w:sz w:val="22"/>
        </w:rPr>
        <w:t>No specific line-level corrections were provided by this reviewer beyond the writing-quality comment addressed above (Comment 15).</w:t>
      </w:r>
    </w:p>
    <w:p>
      <w:r>
        <w:rPr>
          <w:b/>
          <w:sz w:val="26"/>
        </w:rPr>
        <w:t>4. Additional clarifications</w:t>
      </w:r>
    </w:p>
    <w:p>
      <w:r>
        <w:rPr>
          <w:sz w:val="22"/>
        </w:rPr>
        <w:t>Three items in this review are explicitly only partially addressed rather than resolved: a training-set-size sensitivity analysis (Comment 4), LoRA-rank/reflection-length/training-epoch/teacher-model ablations (Comment 9), and evaluation on additional high-risk domains beyond finance (Comment 11). Each requires GPU retraining or new benchmark construction beyond this revision's scope and is stated as a specific, named limitation in the manuscript rather than omitted.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