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2 Comments</w:t>
      </w:r>
    </w:p>
    <w:p>
      <w:r>
        <w:rPr>
          <w:b/>
          <w:sz w:val="26"/>
        </w:rPr>
        <w:t>1. Summary</w:t>
      </w:r>
    </w:p>
    <w:p>
      <w:r>
        <w:rPr>
          <w:b w:val="0"/>
          <w:sz w:val="22"/>
        </w:rPr>
        <w:t>Thank you very much for the careful and constructive review, and for the positive overall assessment of the manuscript's methodology and topic. The eight comments cover much of the same core concern raised by other reviewers (the ablation-vs-headline-claim mismatch, missing competitive baselines, and statistical rigor) alongside several distinct, concrete requests specific to this review (the false-positive discrepancy, financial-corpus validation, reflection-quality assessment, and reproducibility of code/data/prompts). We address each below, with the corresponding location and exact updated text in the revised manuscript.</w:t>
      </w:r>
    </w:p>
    <w:p>
      <w:r>
        <w:rPr>
          <w:b/>
          <w:sz w:val="26"/>
        </w:rPr>
        <w:t>2. Point-by-point response to Comments and Suggestions for Authors</w:t>
      </w:r>
    </w:p>
    <w:p>
      <w:r>
        <w:rPr>
          <w:b/>
        </w:rPr>
        <w:t xml:space="preserve">Comments 1: </w:t>
      </w:r>
      <w:r>
        <w:t>The main problem of the work is that the main conclusion of the article is partially refuted by the ablation study. Please clarify this point.</w:t>
      </w:r>
    </w:p>
    <w:p>
      <w:r>
        <w:rPr>
          <w:b/>
        </w:rPr>
        <w:t xml:space="preserve">Response 1: </w:t>
      </w:r>
      <w:r>
        <w:rPr>
          <w:color w:val="C00000"/>
        </w:rPr>
        <w:t>Agree. We have rewritten the Abstract, Introduction contributions, Results, Ablation Study discussion, and Conclusion so that Condition B (SFT-only) is the primary point of comparison for aggregate metrics, with reflection's contribution stated as a targeted trade-off rather than an unconditional improvement.</w:t>
      </w:r>
    </w:p>
    <w:p>
      <w:pPr>
        <w:ind w:left="360"/>
      </w:pPr>
      <w:r>
        <w:rPr>
          <w:i/>
          <w:color w:val="C00000"/>
          <w:sz w:val="21"/>
        </w:rPr>
        <w:t>"Among our three conditions, Condition B, not Reflect-Guard, achieves the best overall F1 (0.860) and accuracy (0.877), confirming that supervised fine-tuning (SFT) on the decision boundary---not reflection---is responsible for the majority of the aggregate improvement over the un-fine-tuned baseline (F1: 0.770 → 0.860, +9.0 pp)."</w:t>
      </w:r>
    </w:p>
    <w:p>
      <w:r>
        <w:rPr>
          <w:b w:val="0"/>
          <w:sz w:val="22"/>
        </w:rPr>
        <w:t>We also retrained Conditions B and D under two additional random seeds and ran paired significance tests (Section 7.4.1), confirming both directions of this finding hold beyond the single seed-42 run: Condition B's aggregate-F1 advantage is significant (p=0.018) and Condition D's adversarial-recall advantage is separately significant (p=0.027).</w:t>
      </w:r>
    </w:p>
    <w:p/>
    <w:p>
      <w:r>
        <w:rPr>
          <w:b/>
        </w:rPr>
        <w:t xml:space="preserve">Comments 2: </w:t>
      </w:r>
      <w:r>
        <w:t>Please change the positioning of the results from "overall improvement" to changing the precision–recall tradeoff.</w:t>
      </w:r>
    </w:p>
    <w:p>
      <w:r>
        <w:rPr>
          <w:b/>
        </w:rPr>
        <w:t xml:space="preserve">Response 2: </w:t>
      </w:r>
      <w:r>
        <w:rPr>
          <w:color w:val="C00000"/>
        </w:rPr>
        <w:t>Agree; this is the same substantive change as Comment 1, and we implemented both together. The manuscript's conclusion now states this explicitly:</w:t>
      </w:r>
    </w:p>
    <w:p>
      <w:pPr>
        <w:ind w:left="360"/>
      </w:pPr>
      <w:r>
        <w:rPr>
          <w:i/>
          <w:color w:val="C00000"/>
          <w:sz w:val="21"/>
        </w:rPr>
        <w:t>"What reflection does provide is a targeted, opposite-direction shift specifically on adversarially-framed inputs: +7.6 pp recall on the adversarial subset relative to Condition B, at a cost of −7.9 pp precision on that same subset, while simultaneously improving precision (at a cost to recall) on non-adversarial inputs. This cross-subset pattern is inconsistent with a single global decision-threshold shift and instead indicates the model has learned features specific to adversarial framing---a real but narrower contribution than an unconditional improvement, and one best described as a precision–recall tradeoff rather than a strict gain."</w:t>
      </w:r>
    </w:p>
    <w:p>
      <w:r>
        <w:rPr>
          <w:b w:val="0"/>
          <w:sz w:val="22"/>
        </w:rPr>
        <w:t>We searched the full manuscript for remaining "overall improvement"-style framing not qualified by this trade-off language and found none outside this corrected framing.</w:t>
      </w:r>
    </w:p>
    <w:p/>
    <w:p>
      <w:r>
        <w:rPr>
          <w:b/>
        </w:rPr>
        <w:t xml:space="preserve">Comments 3: </w:t>
      </w:r>
      <w:r>
        <w:t>The study would greatly benefit from the addition of state-of-the-art competitive classifiers.</w:t>
      </w:r>
    </w:p>
    <w:p>
      <w:r>
        <w:rPr>
          <w:b/>
          <w:color w:val="C00000"/>
        </w:rPr>
        <w:t>Response 3: Agree. We added a new subsection, "Comparison to Competitive Safety Classifiers" (Section 7.5), evaluating four external classifiers on the same three benchmarks: WildGuard, PromptGuard, OpenAI’s moderation classifier, and a prompted GPT-4o-mini reasoning baseline. WildGuard and the prompted baseline are compared head-to-head in the main result tables (Tables 1, 2, 3, and 6); PromptGuard and OpenAI’s moderation classifier are reported separately (Section 7.6) because both show a fundamental taxonomy/design-scope mismatch with this paper’s task rather than a like-for-like classification result.</w:t>
      </w:r>
      <w:r>
        <w:rPr>
          <w:color w:val="C00000"/>
        </w:rPr>
      </w:r>
    </w:p>
    <w:p>
      <w:pPr>
        <w:ind w:left="360"/>
      </w:pPr>
      <w:r>
        <w:rPr>
          <w:i/>
          <w:color w:val="C00000"/>
          <w:sz w:val="21"/>
        </w:rPr>
        <w:t>"adversarial-subset recall is the one metric across every table where Reflect-Guard leads every evaluated classifier, including WildGuard (0.921 vs. 0.827 for WildGuard, 0.636 for the prompted teacher)… WildGuard leads all three of our conditions on aggregate WildGuardTest accuracy, precision, and F1… Condition B—not just D—beats WildGuard outright on JailbreakBench (100.0% vs. 99.65% DR)… On the finance zero-shot-transfer benchmark… Reflect-Guard has the highest F1, recall, and accuracy of any evaluated classifier."</w:t>
      </w:r>
    </w:p>
    <w:p>
      <w:r>
        <w:rPr>
          <w:b w:val="0"/>
          <w:sz w:val="22"/>
        </w:rPr>
        <w:t>We removed the unqualified "state-of-the-art" language and replaced it with a precise, narrow claim supported directly by these results (Section 7.5).</w:t>
      </w:r>
    </w:p>
    <w:p/>
    <w:p>
      <w:r>
        <w:rPr>
          <w:b/>
        </w:rPr>
        <w:t xml:space="preserve">Comments 4: </w:t>
      </w:r>
      <w:r>
        <w:t>It can be recommended to conduct several runs and statistical testing.</w:t>
      </w:r>
    </w:p>
    <w:p>
      <w:r>
        <w:rPr>
          <w:b/>
        </w:rPr>
        <w:t xml:space="preserve">Response 4: </w:t>
      </w:r>
      <w:r>
        <w:rPr>
          <w:color w:val="C00000"/>
        </w:rPr>
        <w:t>Agree. We retrained Conditions B and D under three random seeds (42, 123, 2024) and report per-condition mean ± std, a paired t-test, and a Wilcoxon signed-rank test across all three benchmarks (Section 7.4.1, Table 9):</w:t>
      </w:r>
    </w:p>
    <w:p>
      <w:pPr>
        <w:ind w:left="360"/>
      </w:pPr>
      <w:r>
        <w:rPr>
          <w:i/>
          <w:color w:val="C00000"/>
          <w:sz w:val="21"/>
        </w:rPr>
        <w:t>"Condition B's overall-F1 advantage over D is statistically significant (WGT overall and adversarial F1: p=0.018), holding on every one of the three seeds—not an artifact of the seed-42 headline run. Condition D's adversarial-recall advantage over B is separately significant (p=0.027), also holding on all three seeds… Overall recall shows no significant difference between B and D (p=0.508), consistent with reflection reallocating recall toward the adversarial subset rather than shifting a global threshold."</w:t>
      </w:r>
    </w:p>
    <w:p>
      <w:r>
        <w:rPr>
          <w:b w:val="0"/>
          <w:sz w:val="22"/>
        </w:rPr>
        <w:t>We additionally added exact confusion matrices (TP/FP/FN/TN) for every condition and benchmark, and a complementary paired bootstrap significance test on the single seed-42 run (2,000 resamples of the shared test set), as a second, independent line of evidence (Section 7.4.2, Tables 8–9). We also added 95% bootstrap confidence intervals directly to the main result tables (Tables 1, 3, and 6).</w:t>
      </w:r>
    </w:p>
    <w:p/>
    <w:p>
      <w:r>
        <w:rPr>
          <w:b/>
        </w:rPr>
        <w:t xml:space="preserve">Comments 5: </w:t>
      </w:r>
      <w:r>
        <w:t>The lack of independent validation of the financial corpus reduces confidence in the results.</w:t>
      </w:r>
    </w:p>
    <w:p>
      <w:r>
        <w:rPr>
          <w:b/>
        </w:rPr>
        <w:t xml:space="preserve">Response 5: </w:t>
      </w:r>
      <w:r>
        <w:rPr>
          <w:color w:val="C00000"/>
        </w:rPr>
        <w:t>Agree that this is a real limitation; we could not conduct independent human validation within this revision (no human annotators available to us), but we added three concrete pieces of evidence and disclosure that did not exist in the previous draft, all in Section 7.6 ("Finance benchmark provenance and domain scope" and "Labeling procedure for the synthetic portion"):</w:t>
      </w:r>
    </w:p>
    <w:p>
      <w:r>
        <w:rPr>
          <w:b w:val="0"/>
          <w:sz w:val="22"/>
        </w:rPr>
        <w:t>(a) A real-vs-synthetic provenance split, testing whether the reported gain is an artifact of the finance benchmark's partly GPT-4o-mini-generated origin:</w:t>
      </w:r>
    </w:p>
    <w:p>
      <w:pPr>
        <w:ind w:left="360"/>
      </w:pPr>
      <w:r>
        <w:rPr>
          <w:i/>
          <w:color w:val="C00000"/>
          <w:sz w:val="21"/>
        </w:rPr>
        <w:t>"Splitting results by provenance argues against pure stylistic mimicry: the gain is larger on the 60 real examples (F1 +12.6 pp) than the 269 synthetic ones (+4.0 pp)---but this rests on only 60 real examples, and more fundamentally, neither portion's labels have been independently human-verified."</w:t>
      </w:r>
    </w:p>
    <w:p>
      <w:r>
        <w:rPr>
          <w:b w:val="0"/>
          <w:sz w:val="22"/>
        </w:rPr>
        <w:t>(b) An explicit description of how labels were actually assigned to the synthetic portion, since this had not been documented previously:</w:t>
      </w:r>
    </w:p>
    <w:p>
      <w:pPr>
        <w:ind w:left="360"/>
      </w:pPr>
      <w:r>
        <w:rPr>
          <w:i/>
          <w:color w:val="C00000"/>
          <w:sz w:val="21"/>
        </w:rPr>
        <w:t>"The harmful/benign label for each of the 269 GPT-4o-mini-generated examples is assigned by construction, not by a separate annotation or classification step… No human or model annotator subsequently reviews or verifies that the generated content actually matches its assigned label. Consequently, an inter-annotator agreement statistic does not apply here… but this also means a generated example that fails to match its intended label… would not be caught."</w:t>
      </w:r>
    </w:p>
    <w:p>
      <w:r>
        <w:rPr>
          <w:b w:val="0"/>
          <w:sz w:val="22"/>
        </w:rPr>
        <w:t>(c) Bootstrap 95% confidence intervals on the finance table (Table 6), since this is our smallest evaluation set (n=329):</w:t>
      </w:r>
    </w:p>
    <w:p>
      <w:pPr>
        <w:ind w:left="360"/>
      </w:pPr>
      <w:r>
        <w:rPr>
          <w:i/>
          <w:color w:val="C00000"/>
          <w:sz w:val="21"/>
        </w:rPr>
        <w:t>"Because this is our smallest evaluation set (n=329), we report bootstrap 95% confidence intervals directly in the table rather than the point estimates alone: recall (0.713–0.821 vs. 0.821–0.908) and F1 (0.833–0.902 vs. 0.902–0.952) do not overlap between the baseline and Reflect-Guard."</w:t>
      </w:r>
    </w:p>
    <w:p>
      <w:r>
        <w:rPr>
          <w:b w:val="0"/>
          <w:sz w:val="22"/>
        </w:rPr>
        <w:t>We explicitly frame the finance results as evidence toward generalization, not a validated demonstration, and list an independently constructed, human-validated finance benchmark as important future work.</w:t>
      </w:r>
    </w:p>
    <w:p/>
    <w:p>
      <w:r>
        <w:rPr>
          <w:b/>
        </w:rPr>
        <w:t xml:space="preserve">Comments 6: </w:t>
      </w:r>
      <w:r>
        <w:t>Please conduct a systematic assessment of the quality and accuracy of the reflections.</w:t>
      </w:r>
    </w:p>
    <w:p>
      <w:r>
        <w:rPr>
          <w:b/>
        </w:rPr>
        <w:t xml:space="preserve">Response 6: </w:t>
      </w:r>
      <w:r>
        <w:rPr>
          <w:color w:val="C00000"/>
        </w:rPr>
        <w:t>Agree, and we added a new, fully automated, quantitative check across every Condition-D prediction with a stored reflection (n=2,309, spanning all three benchmarks), reported in the Qualitative Analysis section ("Reflection self-consistency"):</w:t>
      </w:r>
    </w:p>
    <w:p>
      <w:pPr>
        <w:ind w:left="360"/>
      </w:pPr>
      <w:r>
        <w:rPr>
          <w:i/>
          <w:color w:val="C00000"/>
          <w:sz w:val="21"/>
        </w:rPr>
        <w:t>"A separate concern is whether the generated reflection actually agrees with its own emitted verdict, or the two are decoupled---which would undermine the method's interpretability claim… Extraction succeeded for 99.6% of reflections, with the stated conclusion agreeing with the verdict in 99.91% of those; manual inspection of the two disagreements found both to be extraction artifacts… so the effective self-consistency rate is 100%."</w:t>
      </w:r>
    </w:p>
    <w:p>
      <w:r>
        <w:rPr>
          <w:b w:val="0"/>
          <w:sz w:val="22"/>
        </w:rPr>
        <w:t>We are precise about the scope of this check, which is self-consistency, not correctness or faithfulness---a narrower but harder question we discuss as an explicit, unresolved limitation:</w:t>
      </w:r>
    </w:p>
    <w:p>
      <w:pPr>
        <w:ind w:left="360"/>
      </w:pPr>
      <w:r>
        <w:rPr>
          <w:i/>
          <w:color w:val="C00000"/>
          <w:sz w:val="21"/>
        </w:rPr>
        <w:t>"This measures self-consistency, not correctness: a reflection can be internally consistent while factually wrong, as the JailbreakBench PAIR misses illustrate. Whether a correct verdict co-occurs with unfaithful reasoning that does not manifest as a stated-conclusion mismatch remains unquantified, and would require human annotation or a counterfactual faithfulness probe we have not conducted."</w:t>
      </w:r>
    </w:p>
    <w:p/>
    <w:p>
      <w:r>
        <w:rPr>
          <w:b/>
        </w:rPr>
        <w:t xml:space="preserve">Comments 7: </w:t>
      </w:r>
      <w:r>
        <w:t>Please resolve the discrepancy in the number of false positives.</w:t>
      </w:r>
    </w:p>
    <w:p>
      <w:r>
        <w:rPr>
          <w:b/>
        </w:rPr>
        <w:t xml:space="preserve">Response 7: </w:t>
      </w:r>
      <w:r>
        <w:rPr>
          <w:color w:val="C00000"/>
        </w:rPr>
        <w:t>Agree; we traced this to two different analysis scripts reading two different baseline prediction files, reconciled the count, and now report the exact reconciliation explicitly wherever false positives are discussed:</w:t>
      </w:r>
    </w:p>
    <w:p>
      <w:pPr>
        <w:ind w:left="360"/>
      </w:pPr>
      <w:r>
        <w:rPr>
          <w:i/>
          <w:color w:val="C00000"/>
          <w:sz w:val="21"/>
        </w:rPr>
        <w:t>"Reflect-Guard (Condition D) has 142 total false positives on WildGuardTest versus 44 for the clean baseline (Condition 0); exact-prompt matching shows these are not simply additive (33 shared, 11 resolved, 109 newly introduced: 142=33+109, 44=33+11). Of the 109 new false positives, 102 (93.6%) fall in the adversarial subset."</w:t>
      </w:r>
    </w:p>
    <w:p>
      <w:r>
        <w:rPr>
          <w:b w:val="0"/>
          <w:sz w:val="22"/>
        </w:rPr>
        <w:t>This single, consistent count (109 new false positives) now appears everywhere the paper discusses false positives, including the Qualitative Analysis, Error Analysis, and Limitations sections; we grepped the final manuscript for the previously inconsistent counts and confirmed none remain.</w:t>
      </w:r>
    </w:p>
    <w:p/>
    <w:p>
      <w:r>
        <w:rPr>
          <w:b/>
        </w:rPr>
        <w:t xml:space="preserve">Comments 8: </w:t>
      </w:r>
      <w:r>
        <w:t>Should be presented and publish the code, exact characteristics of the data and prompts.</w:t>
      </w:r>
    </w:p>
    <w:p>
      <w:r>
        <w:rPr>
          <w:b/>
        </w:rPr>
        <w:t xml:space="preserve">Response 8: </w:t>
      </w:r>
      <w:r>
        <w:rPr>
          <w:color w:val="C00000"/>
        </w:rPr>
        <w:t>Agree. The Data Availability Statement was substantially expanded (it previously said data was available only "upon reasonable request") to itemize every script, dataset, and result file, and we added a dedicated methods paragraph giving the exact dataset identifiers and sampling procedure:</w:t>
      </w:r>
    </w:p>
    <w:p>
      <w:pPr>
        <w:ind w:left="360"/>
      </w:pPr>
      <w:r>
        <w:rPr>
          <w:i/>
          <w:color w:val="C00000"/>
          <w:sz w:val="21"/>
        </w:rPr>
        <w:t>"Code, evaluation scripts, and data are openly available at https://github.com/lixinglin-AI/AI-Safety, including: training/evaluation scripts for all five ablation conditions; teacher prompt templates and reflection-generation configuration (reflect_guard/config.py, synthesize.py); generated reflection training annotations (reflect_guard/*_train.jsonl, 1,000 examples each)… Python package versions are pinned in requirements.txt. Model outputs are parsed deterministically: after stripping any &lt;reflection&gt; block, an output is labeled harmful if and only if the remaining text begins with "unsafe"…"</w:t>
      </w:r>
    </w:p>
    <w:p>
      <w:pPr>
        <w:ind w:left="360"/>
      </w:pPr>
      <w:r>
        <w:rPr>
          <w:i/>
          <w:color w:val="C00000"/>
          <w:sz w:val="21"/>
        </w:rPr>
        <w:t>"Training prompts are drawn from two HuggingFace datasets, allenai/wildguardmix (config wildguardtrain) and walledai/AdvBench… Sampling is deterministic given RANDOM_SEED=42 (reflect_guard/config.py): each source is shuffled under the fixed seed and truncated to 500 examples, then the combined 1,000-example set is shuffled again."</w:t>
      </w:r>
    </w:p>
    <w:p>
      <w:r>
        <w:rPr>
          <w:b w:val="0"/>
          <w:sz w:val="22"/>
        </w:rPr>
        <w:t>The exact teacher prompts (system prompts used for reflection generation) are released as source code (reflect_guard/config.py) rather than reproduced inline in the paper, so they are exactly reproducible rather than paraphrased.</w:t>
      </w:r>
    </w:p>
    <w:p>
      <w:r>
        <w:rPr>
          <w:b/>
          <w:sz w:val="26"/>
        </w:rPr>
        <w:t>3. Response to Comments on the Quality of English Language</w:t>
      </w:r>
    </w:p>
    <w:p>
      <w:r>
        <w:rPr>
          <w:b w:val="0"/>
          <w:sz w:val="22"/>
        </w:rPr>
        <w:t>No specific concerns regarding English language quality were raised by this reviewer.</w:t>
      </w:r>
    </w:p>
    <w:p>
      <w:r>
        <w:rPr>
          <w:b/>
          <w:sz w:val="26"/>
        </w:rPr>
        <w:t>4. Additional clarifications</w:t>
      </w:r>
    </w:p>
    <w:p>
      <w:r>
        <w:rPr>
          <w:b w:val="0"/>
          <w:sz w:val="22"/>
        </w:rPr>
        <w:t>One item raised by this reviewer (independent validation of the financial corpus, Comment 5) is only partially resolved: we added the provenance-split analysis and full labeling-procedure disclosure described above, but genuine independent human validation of the finance benchmark's labels was not feasible within this revision and remains explicitly listed as future work in the manuscript's Limitations and Conclusion sections, rather than presented as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