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180"/>
        <w:jc w:val="center"/>
      </w:pPr>
      <w:r>
        <w:rPr>
          <w:rFonts w:ascii="Noto Sans CJK SC" w:hAnsi="Noto Sans CJK SC" w:eastAsia="Noto Sans CJK SC"/>
          <w:b/>
          <w:color w:val="1F4E79"/>
          <w:sz w:val="52"/>
        </w:rPr>
        <w:t>全自动冰冻切片染色机</w:t>
      </w:r>
    </w:p>
    <w:p>
      <w:pPr>
        <w:jc w:val="center"/>
      </w:pPr>
      <w:r>
        <w:rPr>
          <w:rFonts w:ascii="Noto Sans CJK SC" w:hAnsi="Noto Sans CJK SC" w:eastAsia="Noto Sans CJK SC"/>
          <w:color w:val="4F4F4F"/>
          <w:sz w:val="30"/>
        </w:rPr>
        <w:t>上位机软件需求规格说明书（完整修订版）</w:t>
      </w:r>
    </w:p>
    <w:p>
      <w:pPr>
        <w:spacing w:after="240"/>
      </w:pPr>
    </w:p>
    <w:tbl>
      <w:tblPr>
        <w:tblStyle w:val="TableGrid"/>
        <w:tblW w:type="auto" w:w="0"/>
        <w:jc w:val="center"/>
        <w:tblLayout w:type="autofit"/>
        <w:tblLook w:firstColumn="1" w:firstRow="1" w:lastColumn="0" w:lastRow="0" w:noHBand="0" w:noVBand="1" w:val="04A0"/>
      </w:tblPr>
      <w:tblGrid>
        <w:gridCol w:w="5241"/>
        <w:gridCol w:w="5241"/>
      </w:tblGrid>
      <w:tr>
        <w:tc>
          <w:tcPr>
            <w:tcW w:type="dxa" w:w="1944"/>
            <w:vAlign w:val="center"/>
            <w:shd w:fill="1F4E79"/>
            <w:tcBorders>
              <w:top w:val="single" w:sz="3" w:color="D9E2F3"/>
              <w:left w:val="single" w:sz="3" w:color="D9E2F3"/>
              <w:bottom w:val="single" w:sz="3" w:color="D9E2F3"/>
              <w:right w:val="single" w:sz="3" w:color="D9E2F3"/>
            </w:tcBorders>
            <w:tcMar>
              <w:top w:w="80" w:type="dxa"/>
              <w:start w:w="80" w:type="dxa"/>
              <w:bottom w:w="80" w:type="dxa"/>
              <w:end w:w="80" w:type="dxa"/>
            </w:tcMar>
          </w:tcPr>
          <w:p>
            <w:pPr>
              <w:spacing w:after="0"/>
              <w:jc w:val="left"/>
            </w:pPr>
            <w:r/>
            <w:r>
              <w:rPr>
                <w:rFonts w:ascii="Noto Sans CJK SC" w:hAnsi="Noto Sans CJK SC" w:eastAsia="Noto Sans CJK SC"/>
                <w:b w:val="0"/>
                <w:sz w:val="17"/>
              </w:rPr>
              <w:t>版本</w:t>
            </w:r>
          </w:p>
        </w:tc>
        <w:tc>
          <w:tcPr>
            <w:tcW w:type="dxa" w:w="8352"/>
            <w:vAlign w:val="center"/>
            <w:shd w:fill="F8FBFE"/>
            <w:tcBorders>
              <w:top w:val="single" w:sz="3" w:color="D9E2F3"/>
              <w:left w:val="single" w:sz="3" w:color="D9E2F3"/>
              <w:bottom w:val="single" w:sz="3" w:color="D9E2F3"/>
              <w:right w:val="single" w:sz="3" w:color="D9E2F3"/>
            </w:tcBorders>
            <w:tcMar>
              <w:top w:w="80" w:type="dxa"/>
              <w:start w:w="80" w:type="dxa"/>
              <w:bottom w:w="80" w:type="dxa"/>
              <w:end w:w="80" w:type="dxa"/>
            </w:tcMar>
          </w:tcPr>
          <w:p>
            <w:pPr>
              <w:spacing w:after="0"/>
              <w:jc w:val="left"/>
            </w:pPr>
            <w:r/>
            <w:r>
              <w:rPr>
                <w:rFonts w:ascii="Noto Sans CJK SC" w:hAnsi="Noto Sans CJK SC" w:eastAsia="Noto Sans CJK SC"/>
                <w:b w:val="0"/>
                <w:sz w:val="17"/>
              </w:rPr>
              <w:t>V2.3</w:t>
            </w:r>
          </w:p>
        </w:tc>
      </w:tr>
      <w:tr>
        <w:tc>
          <w:tcPr>
            <w:tcW w:type="dxa" w:w="1944"/>
            <w:vAlign w:val="center"/>
            <w:shd w:fill="1F4E79"/>
            <w:tcBorders>
              <w:top w:val="single" w:sz="3" w:color="D9E2F3"/>
              <w:left w:val="single" w:sz="3" w:color="D9E2F3"/>
              <w:bottom w:val="single" w:sz="3" w:color="D9E2F3"/>
              <w:right w:val="single" w:sz="3" w:color="D9E2F3"/>
            </w:tcBorders>
            <w:tcMar>
              <w:top w:w="80" w:type="dxa"/>
              <w:start w:w="80" w:type="dxa"/>
              <w:bottom w:w="80" w:type="dxa"/>
              <w:end w:w="80" w:type="dxa"/>
            </w:tcMar>
          </w:tcPr>
          <w:p>
            <w:pPr>
              <w:spacing w:after="0"/>
              <w:jc w:val="left"/>
            </w:pPr>
            <w:r/>
            <w:r>
              <w:rPr>
                <w:rFonts w:ascii="Noto Sans CJK SC" w:hAnsi="Noto Sans CJK SC" w:eastAsia="Noto Sans CJK SC"/>
                <w:b w:val="0"/>
                <w:sz w:val="17"/>
              </w:rPr>
              <w:t>编制日期</w:t>
            </w:r>
          </w:p>
        </w:tc>
        <w:tc>
          <w:tcPr>
            <w:tcW w:type="dxa" w:w="8352"/>
            <w:vAlign w:val="center"/>
            <w:shd w:fill="F8FBFE"/>
            <w:tcBorders>
              <w:top w:val="single" w:sz="3" w:color="D9E2F3"/>
              <w:left w:val="single" w:sz="3" w:color="D9E2F3"/>
              <w:bottom w:val="single" w:sz="3" w:color="D9E2F3"/>
              <w:right w:val="single" w:sz="3" w:color="D9E2F3"/>
            </w:tcBorders>
            <w:tcMar>
              <w:top w:w="80" w:type="dxa"/>
              <w:start w:w="80" w:type="dxa"/>
              <w:bottom w:w="80" w:type="dxa"/>
              <w:end w:w="80" w:type="dxa"/>
            </w:tcMar>
          </w:tcPr>
          <w:p>
            <w:pPr>
              <w:spacing w:after="0"/>
              <w:jc w:val="left"/>
            </w:pPr>
            <w:r/>
            <w:r>
              <w:rPr>
                <w:rFonts w:ascii="Noto Sans CJK SC" w:hAnsi="Noto Sans CJK SC" w:eastAsia="Noto Sans CJK SC"/>
                <w:b w:val="0"/>
                <w:sz w:val="17"/>
              </w:rPr>
              <w:t>2026-06-25</w:t>
            </w:r>
          </w:p>
        </w:tc>
      </w:tr>
      <w:tr>
        <w:tc>
          <w:tcPr>
            <w:tcW w:type="dxa" w:w="1944"/>
            <w:vAlign w:val="center"/>
            <w:shd w:fill="1F4E79"/>
            <w:tcBorders>
              <w:top w:val="single" w:sz="3" w:color="D9E2F3"/>
              <w:left w:val="single" w:sz="3" w:color="D9E2F3"/>
              <w:bottom w:val="single" w:sz="3" w:color="D9E2F3"/>
              <w:right w:val="single" w:sz="3" w:color="D9E2F3"/>
            </w:tcBorders>
            <w:tcMar>
              <w:top w:w="80" w:type="dxa"/>
              <w:start w:w="80" w:type="dxa"/>
              <w:bottom w:w="80" w:type="dxa"/>
              <w:end w:w="80" w:type="dxa"/>
            </w:tcMar>
          </w:tcPr>
          <w:p>
            <w:pPr>
              <w:spacing w:after="0"/>
              <w:jc w:val="left"/>
            </w:pPr>
            <w:r/>
            <w:r>
              <w:rPr>
                <w:rFonts w:ascii="Noto Sans CJK SC" w:hAnsi="Noto Sans CJK SC" w:eastAsia="Noto Sans CJK SC"/>
                <w:b w:val="0"/>
                <w:sz w:val="17"/>
              </w:rPr>
              <w:t>文档状态</w:t>
            </w:r>
          </w:p>
        </w:tc>
        <w:tc>
          <w:tcPr>
            <w:tcW w:type="dxa" w:w="8352"/>
            <w:vAlign w:val="center"/>
            <w:shd w:fill="F8FBFE"/>
            <w:tcBorders>
              <w:top w:val="single" w:sz="3" w:color="D9E2F3"/>
              <w:left w:val="single" w:sz="3" w:color="D9E2F3"/>
              <w:bottom w:val="single" w:sz="3" w:color="D9E2F3"/>
              <w:right w:val="single" w:sz="3" w:color="D9E2F3"/>
            </w:tcBorders>
            <w:tcMar>
              <w:top w:w="80" w:type="dxa"/>
              <w:start w:w="80" w:type="dxa"/>
              <w:bottom w:w="80" w:type="dxa"/>
              <w:end w:w="80" w:type="dxa"/>
            </w:tcMar>
          </w:tcPr>
          <w:p>
            <w:pPr>
              <w:spacing w:after="0"/>
              <w:jc w:val="left"/>
            </w:pPr>
            <w:r/>
            <w:r>
              <w:rPr>
                <w:rFonts w:ascii="Noto Sans CJK SC" w:hAnsi="Noto Sans CJK SC" w:eastAsia="Noto Sans CJK SC"/>
                <w:b w:val="0"/>
                <w:sz w:val="17"/>
              </w:rPr>
              <w:t>需求基线 / 通道级实验脚本规则已纳入</w:t>
            </w:r>
          </w:p>
        </w:tc>
      </w:tr>
      <w:tr>
        <w:tc>
          <w:tcPr>
            <w:tcW w:type="dxa" w:w="1944"/>
            <w:vAlign w:val="center"/>
            <w:shd w:fill="1F4E79"/>
            <w:tcBorders>
              <w:top w:val="single" w:sz="3" w:color="D9E2F3"/>
              <w:left w:val="single" w:sz="3" w:color="D9E2F3"/>
              <w:bottom w:val="single" w:sz="3" w:color="D9E2F3"/>
              <w:right w:val="single" w:sz="3" w:color="D9E2F3"/>
            </w:tcBorders>
            <w:tcMar>
              <w:top w:w="80" w:type="dxa"/>
              <w:start w:w="80" w:type="dxa"/>
              <w:bottom w:w="80" w:type="dxa"/>
              <w:end w:w="80" w:type="dxa"/>
            </w:tcMar>
          </w:tcPr>
          <w:p>
            <w:pPr>
              <w:spacing w:after="0"/>
              <w:jc w:val="left"/>
            </w:pPr>
            <w:r/>
            <w:r>
              <w:rPr>
                <w:rFonts w:ascii="Noto Sans CJK SC" w:hAnsi="Noto Sans CJK SC" w:eastAsia="Noto Sans CJK SC"/>
                <w:b w:val="0"/>
                <w:sz w:val="17"/>
              </w:rPr>
              <w:t>本次更新重点</w:t>
            </w:r>
          </w:p>
        </w:tc>
        <w:tc>
          <w:tcPr>
            <w:tcW w:type="dxa" w:w="8352"/>
            <w:vAlign w:val="center"/>
            <w:shd w:fill="F8FBFE"/>
            <w:tcBorders>
              <w:top w:val="single" w:sz="3" w:color="D9E2F3"/>
              <w:left w:val="single" w:sz="3" w:color="D9E2F3"/>
              <w:bottom w:val="single" w:sz="3" w:color="D9E2F3"/>
              <w:right w:val="single" w:sz="3" w:color="D9E2F3"/>
            </w:tcBorders>
            <w:tcMar>
              <w:top w:w="80" w:type="dxa"/>
              <w:start w:w="80" w:type="dxa"/>
              <w:bottom w:w="80" w:type="dxa"/>
              <w:end w:w="80" w:type="dxa"/>
            </w:tcMar>
          </w:tcPr>
          <w:p>
            <w:pPr>
              <w:spacing w:after="0"/>
              <w:jc w:val="left"/>
            </w:pPr>
            <w:r/>
            <w:r>
              <w:rPr>
                <w:rFonts w:ascii="Noto Sans CJK SC" w:hAnsi="Noto Sans CJK SC" w:eastAsia="Noto Sans CJK SC"/>
                <w:b w:val="0"/>
                <w:sz w:val="17"/>
              </w:rPr>
              <w:t>实验脚本由单玻片级调整为通道级；A-D 每个通道统一选择实验类型与已发布流程版本，通道内全部玻片继承同一流程快照。</w:t>
            </w:r>
          </w:p>
        </w:tc>
      </w:tr>
    </w:tbl>
    <w:p>
      <w:pPr>
        <w:spacing w:after="300"/>
      </w:pPr>
    </w:p>
    <w:tbl>
      <w:tblPr>
        <w:tblW w:type="auto" w:w="0"/>
        <w:jc w:val="center"/>
        <w:tblLook w:firstColumn="1" w:firstRow="1" w:lastColumn="0" w:lastRow="0" w:noHBand="0" w:noVBand="1" w:val="04A0"/>
      </w:tblPr>
      <w:tblGrid>
        <w:gridCol w:w="10483"/>
      </w:tblGrid>
      <w:tr>
        <w:tc>
          <w:tcPr>
            <w:tcW w:type="dxa" w:w="10483"/>
            <w:shd w:fill="EDF5FB"/>
            <w:tcBorders>
              <w:top w:val="single" w:sz="4" w:color="9CC2E5"/>
              <w:left w:val="single" w:sz="4" w:color="9CC2E5"/>
              <w:bottom w:val="single" w:sz="4" w:color="9CC2E5"/>
              <w:right w:val="single" w:sz="4" w:color="9CC2E5"/>
            </w:tcBorders>
            <w:vAlign w:val="center"/>
          </w:tcPr>
          <w:p>
            <w:pPr>
              <w:spacing w:after="0"/>
              <w:jc w:val="left"/>
            </w:pPr>
            <w:r/>
            <w:r>
              <w:rPr>
                <w:rFonts w:ascii="Noto Sans CJK SC" w:hAnsi="Noto Sans CJK SC" w:eastAsia="Noto Sans CJK SC"/>
                <w:b w:val="0"/>
                <w:sz w:val="17"/>
              </w:rPr>
              <w:t>使用说明：本版为 V2.3 完整修订版。已保留并整合当前已冻结的 HE/IHC、条码/LIS、DAB、暂停/停止、故障恢复和试剂校验规则；本次将实验脚本选择主体由单张玻片调整为通道批次，并新增通道级脚本选择、继承、兼容性校验与运行锁定规则。</w:t>
            </w:r>
          </w:p>
        </w:tc>
      </w:tr>
    </w:tbl>
    <w:p>
      <w:pPr>
        <w:spacing w:after="0"/>
      </w:pPr>
    </w:p>
    <w:p>
      <w:r>
        <w:br w:type="page"/>
      </w:r>
    </w:p>
    <w:p>
      <w:pPr>
        <w:pStyle w:val="Heading1"/>
        <w:spacing w:before="160" w:after="80"/>
      </w:pPr>
      <w:r>
        <w:rPr>
          <w:rFonts w:ascii="Noto Sans CJK SC" w:hAnsi="Noto Sans CJK SC" w:eastAsia="Noto Sans CJK SC"/>
        </w:rPr>
        <w:t>1. 文档定位、范围与版本边界</w:t>
      </w:r>
    </w:p>
    <w:p>
      <w:pPr>
        <w:spacing w:after="60" w:line="276" w:lineRule="auto"/>
      </w:pPr>
      <w:r>
        <w:rPr>
          <w:rFonts w:ascii="Noto Sans CJK SC" w:hAnsi="Noto Sans CJK SC" w:eastAsia="Noto Sans CJK SC"/>
          <w:sz w:val="19"/>
        </w:rPr>
        <w:t>本规格说明书用于指导上位机 UI、应用服务、调度、Mock 设备与真实设备适配器的开发、测试与验收。它以当前已冻结的业务规则为基线，并明确原始材料中尚未能由硬件或数据接口证明的内容只能作为可配置能力或联调待确认项实现。</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4819"/>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范围内</w:t>
            </w:r>
          </w:p>
        </w:tc>
        <w:tc>
          <w:tcPr>
            <w:tcW w:type="dxa" w:w="4819"/>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范围外/由外部负责</w:t>
            </w:r>
          </w:p>
        </w:tc>
      </w:tr>
      <w:tr>
        <w:tc>
          <w:tcPr>
            <w:tcW w:type="dxa" w:w="4819"/>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首版仅支持 HE 与 IHC；先实现 Mock/Simulator 闭环，后替换真实主控、制冷、SOCON 与 DCR55 适配器。主控温控与 4 路清洗泵 PWM 的基础接口按协议 V1.0.4 实现。</w:t>
            </w:r>
          </w:p>
        </w:tc>
        <w:tc>
          <w:tcPr>
            <w:tcW w:type="dxa" w:w="481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底层电机轨迹、泵闭环、传感器硬件互锁、机械安全、设备固件、医院 LIS 服务器和病理结果判读。</w:t>
            </w:r>
          </w:p>
        </w:tc>
      </w:tr>
      <w:tr>
        <w:tc>
          <w:tcPr>
            <w:tcW w:type="dxa" w:w="4819"/>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首版仅支持 HE 与 IHC；先实现 Mock/Simulator 闭环，后替换真实主控、温控、制冷、SOCON 与 DCR55 适配器。</w:t>
            </w:r>
          </w:p>
        </w:tc>
        <w:tc>
          <w:tcPr>
            <w:tcW w:type="dxa" w:w="4819"/>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特染、多重染色、任意运行中追加玻片、单 Slot/单通道终止不属于当前首版范围。</w:t>
            </w:r>
          </w:p>
        </w:tc>
      </w:tr>
    </w:tbl>
    <w:p>
      <w:pPr>
        <w:spacing w:after="0"/>
      </w:pPr>
    </w:p>
    <w:tbl>
      <w:tblPr>
        <w:tblW w:type="auto" w:w="0"/>
        <w:jc w:val="center"/>
        <w:tblLook w:firstColumn="1" w:firstRow="1" w:lastColumn="0" w:lastRow="0" w:noHBand="0" w:noVBand="1" w:val="04A0"/>
      </w:tblPr>
      <w:tblGrid>
        <w:gridCol w:w="10483"/>
      </w:tblGrid>
      <w:tr>
        <w:tc>
          <w:tcPr>
            <w:tcW w:type="dxa" w:w="10483"/>
            <w:shd w:fill="EDF5FB"/>
            <w:tcBorders>
              <w:top w:val="single" w:sz="4" w:color="9CC2E5"/>
              <w:left w:val="single" w:sz="4" w:color="9CC2E5"/>
              <w:bottom w:val="single" w:sz="4" w:color="9CC2E5"/>
              <w:right w:val="single" w:sz="4" w:color="9CC2E5"/>
            </w:tcBorders>
            <w:vAlign w:val="center"/>
          </w:tcPr>
          <w:p>
            <w:pPr>
              <w:spacing w:after="0"/>
              <w:jc w:val="left"/>
            </w:pPr>
            <w:r/>
            <w:r>
              <w:rPr>
                <w:rFonts w:ascii="Noto Sans CJK SC" w:hAnsi="Noto Sans CJK SC" w:eastAsia="Noto Sans CJK SC"/>
                <w:b w:val="0"/>
                <w:sz w:val="17"/>
              </w:rPr>
              <w:t>旧需求修订优先级：原始材料中“运行中追加玻片”“R1-R33”“特染/多重首版支持”“普通暂停后补足孵育”，以及“左上角为机械坐标原点”“R1 第一列中心 X=88 mm”“单张玻片独立选择实验脚本”等表述，与当前已冻结规则冲突时，均以本 V2.3 为准。</w:t>
            </w:r>
          </w:p>
        </w:tc>
      </w:tr>
    </w:tbl>
    <w:p>
      <w:pPr>
        <w:spacing w:after="0"/>
      </w:pPr>
    </w:p>
    <w:p>
      <w:pPr>
        <w:pStyle w:val="Heading1"/>
        <w:spacing w:before="160" w:after="80"/>
      </w:pPr>
      <w:r>
        <w:rPr>
          <w:rFonts w:ascii="Noto Sans CJK SC" w:hAnsi="Noto Sans CJK SC" w:eastAsia="Noto Sans CJK SC"/>
        </w:rPr>
        <w:t>2. 角色、物理结构与核心术语</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1757"/>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角色</w:t>
            </w:r>
          </w:p>
        </w:tc>
        <w:tc>
          <w:tcPr>
            <w:tcW w:type="dxa" w:w="45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主要权限</w:t>
            </w:r>
          </w:p>
        </w:tc>
        <w:tc>
          <w:tcPr>
            <w:tcW w:type="dxa" w:w="334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限制</w:t>
            </w:r>
          </w:p>
        </w:tc>
      </w:tr>
      <w:tr>
        <w:tc>
          <w:tcPr>
            <w:tcW w:type="dxa" w:w="17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操作员</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登录、初始化后创建/确认 HE/IHC 任务、扫描样本与试剂、启动、暂停、普通整机停止、查看运行与处理提示。</w:t>
            </w:r>
          </w:p>
        </w:tc>
        <w:tc>
          <w:tcPr>
            <w:tcW w:type="dxa" w:w="334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不得编辑流程参数、试剂目录、用户、坐标、液体类型、通信参数或绕过试剂校验。</w:t>
            </w:r>
          </w:p>
        </w:tc>
      </w:tr>
      <w:tr>
        <w:tc>
          <w:tcPr>
            <w:tcW w:type="dxa" w:w="17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管理员</w:t>
            </w:r>
          </w:p>
        </w:tc>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具备操作员权限；维护用户、已发布流程、代码-脚本映射、试剂目录、审计/导出。</w:t>
            </w:r>
          </w:p>
        </w:tc>
        <w:tc>
          <w:tcPr>
            <w:tcW w:type="dxa" w:w="334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不得绕过任一启动前试剂校验。高风险工程入口需要额外授权。</w:t>
            </w:r>
          </w:p>
        </w:tc>
      </w:tr>
      <w:tr>
        <w:tc>
          <w:tcPr>
            <w:tcW w:type="dxa" w:w="17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服务工程师/受控工程权限</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设备通讯、扫码器、坐标、液体类型、模块测试、日志诊断、配置导入导出。</w:t>
            </w:r>
          </w:p>
        </w:tc>
        <w:tc>
          <w:tcPr>
            <w:tcW w:type="dxa" w:w="334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不得在活动任务运行期间修改被任务引用的关键配置；危险动作需满足安全互锁并记录审计。</w:t>
            </w:r>
          </w:p>
        </w:tc>
      </w:tr>
      <w:tr>
        <w:tc>
          <w:tcPr>
            <w:tcW w:type="dxa" w:w="17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LIS 系统账户</w:t>
            </w:r>
          </w:p>
        </w:tc>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只读查询医院二维码对应的一抗代码或相关字段。</w:t>
            </w:r>
          </w:p>
        </w:tc>
        <w:tc>
          <w:tcPr>
            <w:tcW w:type="dxa" w:w="334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不得直接控制设备。</w:t>
            </w:r>
          </w:p>
        </w:tc>
      </w:tr>
    </w:tbl>
    <w:p>
      <w:pPr>
        <w:spacing w:after="0"/>
      </w:pP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对象</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定义</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通道（Channel）</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物理样本抽屉 A-D；每通道 4 个 Slot。</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样本位（Slot）</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一张玻片位置，命名 A-01 至 D-04；共 16 个。</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通道批次（Channel Batch）</w:t>
            </w:r>
          </w:p>
        </w:tc>
        <w:tc>
          <w:tcPr>
            <w:tcW w:type="dxa" w:w="7370"/>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同一通道一次装载的 1-4 张玻片；通道批次统一绑定一个实验类型、一个已发布流程版本和一个不可变流程快照。启动后不允许追加，卸载清空后才能进入下一批。</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玻片任务（Slide Task）</w:t>
            </w:r>
          </w:p>
        </w:tc>
        <w:tc>
          <w:tcPr>
            <w:tcW w:type="dxa" w:w="7370"/>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一张玻片的 HE/IHC 实例，保存条码、LIS 结果、最终确认一抗代码、与通道脚本的兼容性结果、当前步骤及审计信息；流程版本和流程快照继承自所属通道批次。</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试剂位（Reagent Position）</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5×8 共 40 位，统一 R1-R40；ch1-ch5 分别代表 5 个物理列。</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试剂瓶实例</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一瓶物理试剂，以完整 17 位条码、批号、序号、位置与单瓶理论余量单独追溯。</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大步骤（Major Step）</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故障恢复的安全检查点；仅在完整大步骤后的清洗/终洗完成时记录。</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原子动作（Atomic Action）</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不可在普通暂停或普通停止中途截断的动作，例如吸液、加液、通道清洗、混匀、洗针。</w:t>
            </w:r>
          </w:p>
        </w:tc>
      </w:tr>
    </w:tbl>
    <w:p>
      <w:pPr>
        <w:spacing w:after="0"/>
      </w:pPr>
    </w:p>
    <w:p>
      <w:pPr>
        <w:pStyle w:val="Heading2"/>
        <w:spacing w:before="100" w:after="80"/>
      </w:pPr>
      <w:r>
        <w:rPr>
          <w:rFonts w:ascii="Noto Sans CJK SC" w:hAnsi="Noto Sans CJK SC" w:eastAsia="Noto Sans CJK SC"/>
        </w:rPr>
        <w:t>2.1 物理平面布局与默认坐标预设</w:t>
      </w:r>
    </w:p>
    <w:p>
      <w:pPr>
        <w:spacing w:after="60" w:line="276" w:lineRule="auto"/>
      </w:pPr>
      <w:r>
        <w:rPr>
          <w:rFonts w:ascii="Noto Sans CJK SC" w:hAnsi="Noto Sans CJK SC" w:eastAsia="Noto Sans CJK SC"/>
          <w:sz w:val="19"/>
        </w:rPr>
        <w:t>设备机械坐标系以最新《方案单臂双针 -位置》图中标注“原点（最里面针）”的位置为准。该最里面针定义为 Needle1，其名义偏移为 (0,0)；另一根针定义为 Needle2，其相对 Needle1 的名义偏移固定为 (+25 mm,0)。X 轴向右、Y 轴向下，单位为 mm；图中距离均按中心点到中心点理解。布局数据作为每台设备的出厂/安装默认预设，不替代现场校准；工程师模式必须支持每个逻辑位置单独保存 X、Y、Z、安全高度、探液高度、分液高度及动作偏移。旧版左上角原点和 R1 第一列中心 X=88 mm 的坐标基准不再使用。</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04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区域/对象</w:t>
            </w:r>
          </w:p>
        </w:tc>
        <w:tc>
          <w:tcPr>
            <w:tcW w:type="dxa" w:w="4649"/>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默认预设与编号规则</w:t>
            </w:r>
          </w:p>
        </w:tc>
        <w:tc>
          <w:tcPr>
            <w:tcW w:type="dxa" w:w="294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工程实现约束</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坐标基准</w:t>
            </w:r>
          </w:p>
        </w:tc>
        <w:tc>
          <w:tcPr>
            <w:tcW w:type="dxa" w:w="4649"/>
            <w:vAlign w:val="center"/>
            <w:shd w:fill="FFFFFF"/>
            <w:tcBorders>
              <w:top w:val="single" w:sz="2" w:color="D9E2F3"/>
              <w:left w:val="single" w:sz="2" w:color="D9E2F3"/>
              <w:bottom w:val="single" w:sz="2" w:color="D9E2F3"/>
              <w:right w:val="single" w:sz="2" w:color="D9E2F3"/>
            </w:tcBorders>
          </w:tcPr>
          <w:p>
            <w:pPr>
              <w:spacing w:after="0" w:before="0" w:line="240" w:lineRule="auto"/>
            </w:pPr>
            <w:r>
              <w:t>机械 XY 原点位于最新平面图标注的“原点（最里面针）”。该针定义为 Needle1，名义偏移 (0,0)；Needle2 的名义偏移为 (+25 mm,0)。X 向右、Y 向下；单位 mm；全部平面尺寸为中心到中心。</w:t>
            </w:r>
            <w:r>
              <w:rPr>
                <w:rFonts w:ascii="Noto Sans CJK SC" w:hAnsi="Noto Sans CJK SC" w:eastAsia="Noto Sans CJK SC"/>
                <w:b w:val="0"/>
                <w:sz w:val="16"/>
              </w:rPr>
            </w:r>
          </w:p>
        </w:tc>
        <w:tc>
          <w:tcPr>
            <w:tcW w:type="dxa" w:w="2948"/>
            <w:vAlign w:val="center"/>
            <w:shd w:fill="FFFFFF"/>
            <w:tcBorders>
              <w:top w:val="single" w:sz="2" w:color="D9E2F3"/>
              <w:left w:val="single" w:sz="2" w:color="D9E2F3"/>
              <w:bottom w:val="single" w:sz="2" w:color="D9E2F3"/>
              <w:right w:val="single" w:sz="2" w:color="D9E2F3"/>
            </w:tcBorders>
          </w:tcPr>
          <w:p>
            <w:pPr>
              <w:spacing w:after="0" w:before="0" w:line="240" w:lineRule="auto"/>
            </w:pPr>
            <w:r>
              <w:t>坐标模型以具名 TargetPoint 保存。所有默认坐标须按该原点建立；不得继续使用旧版左上角原点或 R1 X=88 mm 基准。</w:t>
            </w:r>
            <w:r>
              <w:rPr>
                <w:rFonts w:ascii="Noto Sans CJK SC" w:hAnsi="Noto Sans CJK SC" w:eastAsia="Noto Sans CJK SC"/>
                <w:b w:val="0"/>
                <w:sz w:val="16"/>
              </w:rPr>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试剂架 R1-R40</w:t>
            </w:r>
          </w:p>
        </w:tc>
        <w:tc>
          <w:tcPr>
            <w:tcW w:type="dxa" w:w="4649"/>
            <w:vAlign w:val="center"/>
            <w:shd w:fill="EDF5FB"/>
            <w:tcBorders>
              <w:top w:val="single" w:sz="2" w:color="D9E2F3"/>
              <w:left w:val="single" w:sz="2" w:color="D9E2F3"/>
              <w:bottom w:val="single" w:sz="2" w:color="D9E2F3"/>
              <w:right w:val="single" w:sz="2" w:color="D9E2F3"/>
            </w:tcBorders>
          </w:tcPr>
          <w:p>
            <w:pPr>
              <w:spacing w:after="0" w:before="0" w:line="240" w:lineRule="auto"/>
            </w:pPr>
            <w:r>
              <w:t>5 列×8 行；R1 位于试剂架左上角；每列从上到下编号：R1-R8、R9-R16、R17-R24、R25-R32、R33-R40。行/列名义节距为 25 mm。R1 的绝对 X/Y 名义坐标须以最新“最里面针”原点重新生成并纳入坐标预设。</w:t>
            </w:r>
            <w:r>
              <w:rPr>
                <w:rFonts w:ascii="Noto Sans CJK SC" w:hAnsi="Noto Sans CJK SC" w:eastAsia="Noto Sans CJK SC"/>
                <w:b w:val="0"/>
                <w:sz w:val="16"/>
              </w:rPr>
            </w:r>
          </w:p>
        </w:tc>
        <w:tc>
          <w:tcPr>
            <w:tcW w:type="dxa" w:w="2948"/>
            <w:vAlign w:val="center"/>
            <w:shd w:fill="EDF5FB"/>
            <w:tcBorders>
              <w:top w:val="single" w:sz="2" w:color="D9E2F3"/>
              <w:left w:val="single" w:sz="2" w:color="D9E2F3"/>
              <w:bottom w:val="single" w:sz="2" w:color="D9E2F3"/>
              <w:right w:val="single" w:sz="2" w:color="D9E2F3"/>
            </w:tcBorders>
          </w:tcPr>
          <w:p>
            <w:pPr>
              <w:spacing w:after="0" w:before="0" w:line="240" w:lineRule="auto"/>
            </w:pPr>
            <w:r>
              <w:t>R1 的绝对坐标、其余实际中心点及 Z 参数由坐标预设/校准文件维护；每一位置可独立修正。旧版“R1 第一列中心 X=88 mm”不再作为默认值。</w:t>
            </w:r>
            <w:r>
              <w:rPr>
                <w:rFonts w:ascii="Noto Sans CJK SC" w:hAnsi="Noto Sans CJK SC" w:eastAsia="Noto Sans CJK SC"/>
                <w:b w:val="0"/>
                <w:sz w:val="16"/>
              </w:rPr>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样本抽屉与 Slot</w:t>
            </w:r>
          </w:p>
        </w:tc>
        <w:tc>
          <w:tcPr>
            <w:tcW w:type="dxa" w:w="464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A-D 为 4 个等距通道；每通道 4 个玻片位，编号 1-4 自下而上。图示通道中心名义节距 50 mm、同通道 Slot 名义节距 25 mm。玻片为斜插，图中 Slot 4 矩形表示实际放置区域；每个 Slot 应维护独立加液目标点。</w:t>
            </w:r>
          </w:p>
        </w:tc>
        <w:tc>
          <w:tcPr>
            <w:tcW w:type="dxa" w:w="294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软件逻辑位置为 A-01 至 D-04；不得用抽屉外框中心替代真实滴液点。</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洗针区</w:t>
            </w:r>
          </w:p>
        </w:tc>
        <w:tc>
          <w:tcPr>
            <w:tcW w:type="dxa" w:w="4649"/>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试剂架右侧顶部为 2×2 洗针位：上排两个为洗内壁，下排两个为洗外壁。</w:t>
            </w:r>
          </w:p>
        </w:tc>
        <w:tc>
          <w:tcPr>
            <w:tcW w:type="dxa" w:w="294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内外洗针应作为不同 TargetPoint 和可独立动作/时序资源建模。</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DAB 配液区</w:t>
            </w:r>
          </w:p>
        </w:tc>
        <w:tc>
          <w:tcPr>
            <w:tcW w:type="dxa" w:w="464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洗针区下方为 2×4，共 8 个临时配液位，逻辑命名 M1-M8；下方两个大位为 DAB A 液、DAB B 液。</w:t>
            </w:r>
          </w:p>
        </w:tc>
        <w:tc>
          <w:tcPr>
            <w:tcW w:type="dxa" w:w="294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M1-M8 的实际编号顺序、A/B 的左右映射均应在工程配置中可见并可校准；不可写死为 16 位。</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混匀模块</w:t>
            </w:r>
          </w:p>
        </w:tc>
        <w:tc>
          <w:tcPr>
            <w:tcW w:type="dxa" w:w="4649"/>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样本区上方四个小方框为通道 1-4 的独立混匀电机。混匀不需要机械臂针头到达混匀电机位置。</w:t>
            </w:r>
          </w:p>
        </w:tc>
        <w:tc>
          <w:tcPr>
            <w:tcW w:type="dxa" w:w="294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混匀为通道独立设备动作，需提供启动、完成/原点反馈、超时与故障状态。</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双针</w:t>
            </w:r>
          </w:p>
        </w:tc>
        <w:tc>
          <w:tcPr>
            <w:tcW w:type="dxa" w:w="4649"/>
            <w:vAlign w:val="center"/>
            <w:shd w:fill="FFFFFF"/>
            <w:tcBorders>
              <w:top w:val="single" w:sz="2" w:color="D9E2F3"/>
              <w:left w:val="single" w:sz="2" w:color="D9E2F3"/>
              <w:bottom w:val="single" w:sz="2" w:color="D9E2F3"/>
              <w:right w:val="single" w:sz="2" w:color="D9E2F3"/>
            </w:tcBorders>
          </w:tcPr>
          <w:p>
            <w:pPr>
              <w:spacing w:after="0" w:before="0" w:line="240" w:lineRule="auto"/>
            </w:pPr>
            <w:r>
              <w:t>单臂双针中心距为 25 mm。Needle1 为“最里面针/机械原点”，名义偏移为 (0,0)；Needle2 位于 Needle1 的 X 正方向，名义偏移为 (+25 mm,0)。</w:t>
            </w:r>
            <w:r>
              <w:rPr>
                <w:rFonts w:ascii="Noto Sans CJK SC" w:hAnsi="Noto Sans CJK SC" w:eastAsia="Noto Sans CJK SC"/>
                <w:b w:val="0"/>
                <w:sz w:val="16"/>
              </w:rPr>
            </w:r>
          </w:p>
        </w:tc>
        <w:tc>
          <w:tcPr>
            <w:tcW w:type="dxa" w:w="2948"/>
            <w:vAlign w:val="center"/>
            <w:shd w:fill="FFFFFF"/>
            <w:tcBorders>
              <w:top w:val="single" w:sz="2" w:color="D9E2F3"/>
              <w:left w:val="single" w:sz="2" w:color="D9E2F3"/>
              <w:bottom w:val="single" w:sz="2" w:color="D9E2F3"/>
              <w:right w:val="single" w:sz="2" w:color="D9E2F3"/>
            </w:tcBorders>
          </w:tcPr>
          <w:p>
            <w:pPr>
              <w:spacing w:after="0" w:before="0" w:line="240" w:lineRule="auto"/>
            </w:pPr>
            <w:r>
              <w:t>设备配置必须保存两针的基线偏移及每针现场校准偏移；Needle1/Needle2 的针头-泵-通道映射仍需配置并可审计。双针联动换算以 Needle1 参考坐标为准。</w:t>
            </w:r>
            <w:r>
              <w:rPr>
                <w:rFonts w:ascii="Noto Sans CJK SC" w:hAnsi="Noto Sans CJK SC" w:eastAsia="Noto Sans CJK SC"/>
                <w:b w:val="0"/>
                <w:sz w:val="16"/>
              </w:rPr>
            </w:r>
          </w:p>
        </w:tc>
      </w:tr>
    </w:tbl>
    <w:p>
      <w:pPr>
        <w:spacing w:after="0"/>
      </w:pPr>
    </w:p>
    <w:tbl>
      <w:tblPr>
        <w:tblW w:type="auto" w:w="0"/>
        <w:jc w:val="center"/>
        <w:tblLook w:firstColumn="1" w:firstRow="1" w:lastColumn="0" w:lastRow="0" w:noHBand="0" w:noVBand="1" w:val="04A0"/>
      </w:tblPr>
      <w:tblGrid>
        <w:gridCol w:w="10483"/>
      </w:tblGrid>
      <w:tr>
        <w:tc>
          <w:tcPr>
            <w:tcW w:type="dxa" w:w="10483"/>
            <w:shd w:fill="FFF2CC"/>
            <w:tcBorders>
              <w:top w:val="single" w:sz="4" w:color="9CC2E5"/>
              <w:left w:val="single" w:sz="4" w:color="9CC2E5"/>
              <w:bottom w:val="single" w:sz="4" w:color="9CC2E5"/>
              <w:right w:val="single" w:sz="4" w:color="9CC2E5"/>
            </w:tcBorders>
          </w:tcPr>
          <w:p>
            <w:pPr>
              <w:spacing w:before="0" w:after="0"/>
            </w:pPr>
            <w:r>
              <w:rPr>
                <w:rFonts w:ascii="Noto Sans CJK SC" w:hAnsi="Noto Sans CJK SC" w:eastAsia="Noto Sans CJK SC"/>
                <w:b/>
                <w:color w:val="1F4E79"/>
                <w:sz w:val="18"/>
              </w:rPr>
              <w:t>坐标版本与任务快照：</w:t>
            </w:r>
            <w:r>
              <w:rPr>
                <w:rFonts w:ascii="Noto Sans CJK SC" w:hAnsi="Noto Sans CJK SC" w:eastAsia="Noto Sans CJK SC"/>
                <w:sz w:val="18"/>
              </w:rPr>
              <w:t>任务确认时固化坐标配置版本。活动任务运行中不得修改其引用的坐标版本；工程师修改任一位置后应形成新版本，并记录修改前后坐标、操作者、原因和验证结果。</w:t>
            </w:r>
          </w:p>
        </w:tc>
      </w:tr>
    </w:tbl>
    <w:p>
      <w:pPr>
        <w:spacing w:after="0"/>
      </w:pPr>
    </w:p>
    <w:p>
      <w:pPr>
        <w:pStyle w:val="Heading1"/>
        <w:spacing w:before="160" w:after="80"/>
      </w:pPr>
      <w:r>
        <w:rPr>
          <w:rFonts w:ascii="Noto Sans CJK SC" w:hAnsi="Noto Sans CJK SC" w:eastAsia="Noto Sans CJK SC"/>
        </w:rPr>
        <w:t>3. 登录、Kiosk、初始化与运行前预检</w:t>
      </w:r>
    </w:p>
    <w:p>
      <w:pPr>
        <w:spacing w:after="60" w:line="276" w:lineRule="auto"/>
      </w:pPr>
      <w:r>
        <w:rPr>
          <w:rFonts w:ascii="Noto Sans CJK SC" w:hAnsi="Noto Sans CJK SC" w:eastAsia="Noto Sans CJK SC"/>
          <w:sz w:val="19"/>
        </w:rPr>
        <w:t>系统应运行于 Windows 11，适配 13.3 英寸 1920×1080 触摸屏。设备开机后自动启动上位机并进入全屏 Kiosk 模式；正常操作界面不暴露 Windows 任务栏或普通桌面入口。</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136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编号</w:t>
            </w:r>
          </w:p>
        </w:tc>
        <w:tc>
          <w:tcPr>
            <w:tcW w:type="dxa" w:w="5443"/>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功能要求</w:t>
            </w:r>
          </w:p>
        </w:tc>
        <w:tc>
          <w:tcPr>
            <w:tcW w:type="dxa" w:w="28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验收要点</w:t>
            </w:r>
          </w:p>
        </w:tc>
      </w:tr>
      <w:tr>
        <w:tc>
          <w:tcPr>
            <w:tcW w:type="dxa" w:w="136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FR-AUT-001</w:t>
            </w:r>
          </w:p>
        </w:tc>
        <w:tc>
          <w:tcPr>
            <w:tcW w:type="dxa" w:w="5443"/>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提供用户名与密码登录，按角色决定菜单可见性与可执行操作。</w:t>
            </w:r>
          </w:p>
        </w:tc>
        <w:tc>
          <w:tcPr>
            <w:tcW w:type="dxa" w:w="28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操作员无法访问用户管理和工程高风险配置。</w:t>
            </w:r>
          </w:p>
        </w:tc>
      </w:tr>
      <w:tr>
        <w:tc>
          <w:tcPr>
            <w:tcW w:type="dxa" w:w="136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FR-AUT-002</w:t>
            </w:r>
          </w:p>
        </w:tc>
        <w:tc>
          <w:tcPr>
            <w:tcW w:type="dxa" w:w="5443"/>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登录成功后自动初始化：机械臂回零、主控/制冷/扫码连接检查、液位/传感器读取、洗针或等效准备动作。</w:t>
            </w:r>
          </w:p>
        </w:tc>
        <w:tc>
          <w:tcPr>
            <w:tcW w:type="dxa" w:w="28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每项显示成功、失败、时间、错误码和重试入口。</w:t>
            </w:r>
          </w:p>
        </w:tc>
      </w:tr>
      <w:tr>
        <w:tc>
          <w:tcPr>
            <w:tcW w:type="dxa" w:w="136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FR-AUT-003</w:t>
            </w:r>
          </w:p>
        </w:tc>
        <w:tc>
          <w:tcPr>
            <w:tcW w:type="dxa" w:w="5443"/>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运行前预检应至少覆盖水/PBS、废液、排毒、制冷、扫码器、关键设备、试剂校验、通道/抽屉状态。</w:t>
            </w:r>
          </w:p>
        </w:tc>
        <w:tc>
          <w:tcPr>
            <w:tcW w:type="dxa" w:w="28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关键失败时禁止整机启动，并显示处理建议。</w:t>
            </w:r>
          </w:p>
        </w:tc>
      </w:tr>
      <w:tr>
        <w:tc>
          <w:tcPr>
            <w:tcW w:type="dxa" w:w="136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FR-AUT-004</w:t>
            </w:r>
          </w:p>
        </w:tc>
        <w:tc>
          <w:tcPr>
            <w:tcW w:type="dxa" w:w="5443"/>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系统提供用户管理：创建、停用、重置密码、角色分配和审计查询。</w:t>
            </w:r>
          </w:p>
        </w:tc>
        <w:tc>
          <w:tcPr>
            <w:tcW w:type="dxa" w:w="28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所有账号状态与权限变更可追溯。</w:t>
            </w:r>
          </w:p>
        </w:tc>
      </w:tr>
    </w:tbl>
    <w:p>
      <w:pPr>
        <w:spacing w:after="0"/>
      </w:pPr>
    </w:p>
    <w:p>
      <w:pPr>
        <w:pStyle w:val="Heading1"/>
        <w:spacing w:before="160" w:after="80"/>
      </w:pPr>
      <w:r>
        <w:rPr>
          <w:rFonts w:ascii="Noto Sans CJK SC" w:hAnsi="Noto Sans CJK SC" w:eastAsia="Noto Sans CJK SC"/>
        </w:rPr>
        <w:t>4. 样本装载、玻片识别与流程确认</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场景</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处理规则</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通灵 IHC 玻片二维码</w:t>
            </w:r>
          </w:p>
        </w:tc>
        <w:tc>
          <w:tcPr>
            <w:tcW w:type="dxa" w:w="7370"/>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内容为通灵一抗 3 位代码。系统读取所属通道已选的 IHC 脚本；对一抗代码与该 WorkflowVersion 的已发布映射进行兼容性校验。样本不再独立选择脚本。</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医院自由二维码</w:t>
            </w:r>
          </w:p>
        </w:tc>
        <w:tc>
          <w:tcPr>
            <w:tcW w:type="dxa" w:w="7370"/>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保留原始扫码内容，只去除首尾空格、\r、\n 后作为标准化码；只读查询 LIS SQLite，获得候选一抗代码。操作员选择一抗后，系统校验其是否与通道已选 IHC 脚本兼容，不再为该玻片重新选择脚本。</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LIS 无结果</w:t>
            </w:r>
          </w:p>
        </w:tc>
        <w:tc>
          <w:tcPr>
            <w:tcW w:type="dxa" w:w="7370"/>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弹窗提示并禁止创建 IHC 任务。</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LIS 多结果</w:t>
            </w:r>
          </w:p>
        </w:tc>
        <w:tc>
          <w:tcPr>
            <w:tcW w:type="dxa" w:w="7370"/>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弹窗列出候选一抗代码与名称；操作员选择最终一抗后，系统校验该一抗是否与通道已选脚本兼容。</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HE 玻片</w:t>
            </w:r>
          </w:p>
        </w:tc>
        <w:tc>
          <w:tcPr>
            <w:tcW w:type="dxa" w:w="7370"/>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当前无二维码。操作员应先在目标通道选择“HE 实验”和已发布 HE 流程；随后在该通道空闲 Slot 添加 HE 玻片，玻片自动继承通道脚本。</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确认后</w:t>
            </w:r>
          </w:p>
        </w:tc>
        <w:tc>
          <w:tcPr>
            <w:tcW w:type="dxa" w:w="7370"/>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通道批次固化实验类型、流程版本、流程快照、选择人和选择时间；任务固化原始码、标准化码、候选/最终一抗与兼容性结果。通道批次启动后不可修改。</w:t>
            </w:r>
          </w:p>
        </w:tc>
      </w:tr>
    </w:tbl>
    <w:p>
      <w:pPr>
        <w:spacing w:after="0"/>
      </w:pP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1417"/>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FR 编号</w:t>
            </w:r>
          </w:p>
        </w:tc>
        <w:tc>
          <w:tcPr>
            <w:tcW w:type="dxa" w:w="5386"/>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需求</w:t>
            </w:r>
          </w:p>
        </w:tc>
        <w:tc>
          <w:tcPr>
            <w:tcW w:type="dxa" w:w="28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验收要点</w:t>
            </w:r>
          </w:p>
        </w:tc>
      </w:tr>
      <w:tr>
        <w:tc>
          <w:tcPr>
            <w:tcW w:type="dxa" w:w="141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FR-SMP-001</w:t>
            </w:r>
          </w:p>
        </w:tc>
        <w:tc>
          <w:tcPr>
            <w:tcW w:type="dxa" w:w="5386"/>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以 4 通道×4 Slot 图形化展示样本区，状态与物理抽屉和任务一致。</w:t>
            </w:r>
          </w:p>
        </w:tc>
        <w:tc>
          <w:tcPr>
            <w:tcW w:type="dxa" w:w="28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固定显示 A-D 与 16 Slot；空闲、待确认、待启动、运行、故障、待卸载状态可辨。</w:t>
            </w:r>
          </w:p>
        </w:tc>
      </w:tr>
      <w:tr>
        <w:tc>
          <w:tcPr>
            <w:tcW w:type="dxa" w:w="1417"/>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FR-SMP-002</w:t>
            </w:r>
          </w:p>
        </w:tc>
        <w:tc>
          <w:tcPr>
            <w:tcW w:type="dxa" w:w="5386"/>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同一通道一次装载 1-4 张均构成完整通道批次；批次统一选择实验类型和已发布流程版本，启动后不得中途追加。</w:t>
            </w:r>
          </w:p>
        </w:tc>
        <w:tc>
          <w:tcPr>
            <w:tcW w:type="dxa" w:w="2835"/>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通道内所有玻片继承同一流程版本和流程快照；全部玻片到终态并由操作员确认卸载清空后，通道才恢复可上样。</w:t>
            </w:r>
          </w:p>
        </w:tc>
      </w:tr>
      <w:tr>
        <w:tc>
          <w:tcPr>
            <w:tcW w:type="dxa" w:w="1417"/>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FR-SMP-003</w:t>
            </w:r>
          </w:p>
        </w:tc>
        <w:tc>
          <w:tcPr>
            <w:tcW w:type="dxa" w:w="5386"/>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【样本】页面的 A-D 每个通道卡片各提供一个【选择实验脚本】按钮。IHC 样本仅校验其确认一抗与通道已选脚本的兼容性；操作员不得为单张玻片选择、编辑或更换脚本参数。</w:t>
            </w:r>
          </w:p>
        </w:tc>
        <w:tc>
          <w:tcPr>
            <w:tcW w:type="dxa" w:w="2835"/>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同一通道内不得混用 HE/IHC 或不同脚本；Slot 显示继承的流程名称/版本；任务启动后脚本选择入口锁定并显示原因。</w:t>
            </w:r>
          </w:p>
        </w:tc>
      </w:tr>
      <w:tr>
        <w:tc>
          <w:tcPr>
            <w:tcW w:type="dxa" w:w="3494"/>
            <w:vAlign w:val="center"/>
          </w:tcPr>
          <w:p>
            <w:pPr>
              <w:spacing w:after="0"/>
              <w:jc w:val="left"/>
            </w:pPr>
            <w:r/>
            <w:r>
              <w:rPr>
                <w:rFonts w:ascii="Noto Sans CJK SC" w:hAnsi="Noto Sans CJK SC" w:eastAsia="Noto Sans CJK SC"/>
                <w:b w:val="0"/>
                <w:sz w:val="17"/>
              </w:rPr>
              <w:t>FR-SMP-004</w:t>
            </w:r>
          </w:p>
        </w:tc>
        <w:tc>
          <w:tcPr>
            <w:tcW w:type="dxa" w:w="3494"/>
            <w:vAlign w:val="center"/>
          </w:tcPr>
          <w:p>
            <w:pPr>
              <w:spacing w:after="0"/>
              <w:jc w:val="left"/>
            </w:pPr>
            <w:r/>
            <w:r>
              <w:rPr>
                <w:rFonts w:ascii="Noto Sans CJK SC" w:hAnsi="Noto Sans CJK SC" w:eastAsia="Noto Sans CJK SC"/>
                <w:b w:val="0"/>
                <w:sz w:val="17"/>
              </w:rPr>
              <w:t>通道未选择实验脚本时，系统不得确认创建该通道的正式玻片任务；IHC 样本必须在样本码/LIS 一抗确认后通过通道脚本兼容性校验。</w:t>
            </w:r>
          </w:p>
        </w:tc>
        <w:tc>
          <w:tcPr>
            <w:tcW w:type="dxa" w:w="3494"/>
            <w:vAlign w:val="center"/>
          </w:tcPr>
          <w:p>
            <w:pPr>
              <w:spacing w:after="0"/>
              <w:jc w:val="left"/>
            </w:pPr>
            <w:r/>
            <w:r>
              <w:rPr>
                <w:rFonts w:ascii="Noto Sans CJK SC" w:hAnsi="Noto Sans CJK SC" w:eastAsia="Noto Sans CJK SC"/>
                <w:b w:val="0"/>
                <w:sz w:val="17"/>
              </w:rPr>
              <w:t>不兼容样本不得占用 Slot 或创建 SlideTask；系统提示更换通道或按已确认规则调整未启动通道脚本。</w:t>
            </w:r>
          </w:p>
        </w:tc>
      </w:tr>
    </w:tbl>
    <w:p>
      <w:pPr>
        <w:pStyle w:val="Heading2"/>
      </w:pPr>
      <w:r>
        <w:rPr>
          <w:rFonts w:ascii="Noto Sans CJK SC" w:hAnsi="Noto Sans CJK SC" w:eastAsia="Noto Sans CJK SC"/>
        </w:rPr>
        <w:t>4.1 通道级实验脚本选择与继承规则</w:t>
      </w:r>
    </w:p>
    <w:p>
      <w:pPr>
        <w:spacing w:after="60"/>
      </w:pPr>
      <w:r>
        <w:rPr>
          <w:rFonts w:ascii="Noto Sans CJK SC" w:hAnsi="Noto Sans CJK SC" w:eastAsia="Noto Sans CJK SC"/>
          <w:sz w:val="17"/>
        </w:rPr>
        <w:t>实验脚本的选择主体为通道批次（ChannelBatch），而不是单张玻片任务（SlideTask）。A-D 每个通道一次只能绑定一个实验类型和一个已发布流程版本；通道内所有玻片继承同一流程版本与不可变流程快照。</w:t>
      </w:r>
    </w:p>
    <w:tbl>
      <w:tblPr>
        <w:tblStyle w:val="TableGrid"/>
        <w:tblW w:type="auto" w:w="0"/>
        <w:jc w:val="center"/>
        <w:tblLook w:firstColumn="1" w:firstRow="1" w:lastColumn="0" w:lastRow="0" w:noHBand="0" w:noVBand="1" w:val="04A0"/>
      </w:tblPr>
      <w:tblGrid>
        <w:gridCol w:w="3494"/>
        <w:gridCol w:w="3494"/>
        <w:gridCol w:w="3494"/>
      </w:tblGrid>
      <w:tr>
        <w:tc>
          <w:tcPr>
            <w:tcW w:type="dxa" w:w="1944"/>
            <w:vAlign w:val="center"/>
            <w:shd w:fill="D9EAF7"/>
          </w:tcPr>
          <w:p>
            <w:pPr>
              <w:spacing w:after="0"/>
              <w:jc w:val="left"/>
            </w:pPr>
            <w:r/>
            <w:r>
              <w:rPr>
                <w:rFonts w:ascii="Noto Sans CJK SC" w:hAnsi="Noto Sans CJK SC" w:eastAsia="Noto Sans CJK SC"/>
                <w:b/>
                <w:sz w:val="17"/>
              </w:rPr>
              <w:t>规则项</w:t>
            </w:r>
          </w:p>
        </w:tc>
        <w:tc>
          <w:tcPr>
            <w:tcW w:type="dxa" w:w="6408"/>
            <w:vAlign w:val="center"/>
            <w:shd w:fill="D9EAF7"/>
          </w:tcPr>
          <w:p>
            <w:pPr>
              <w:spacing w:after="0"/>
              <w:jc w:val="left"/>
            </w:pPr>
            <w:r/>
            <w:r>
              <w:rPr>
                <w:rFonts w:ascii="Noto Sans CJK SC" w:hAnsi="Noto Sans CJK SC" w:eastAsia="Noto Sans CJK SC"/>
                <w:b/>
                <w:sz w:val="17"/>
              </w:rPr>
              <w:t>需求</w:t>
            </w:r>
          </w:p>
        </w:tc>
        <w:tc>
          <w:tcPr>
            <w:tcW w:type="dxa" w:w="2448"/>
            <w:vAlign w:val="center"/>
            <w:shd w:fill="D9EAF7"/>
          </w:tcPr>
          <w:p>
            <w:pPr>
              <w:spacing w:after="0"/>
              <w:jc w:val="left"/>
            </w:pPr>
            <w:r/>
            <w:r>
              <w:rPr>
                <w:rFonts w:ascii="Noto Sans CJK SC" w:hAnsi="Noto Sans CJK SC" w:eastAsia="Noto Sans CJK SC"/>
                <w:b/>
                <w:sz w:val="17"/>
              </w:rPr>
              <w:t>验收要点</w:t>
            </w:r>
          </w:p>
        </w:tc>
      </w:tr>
      <w:tr>
        <w:tc>
          <w:tcPr>
            <w:tcW w:type="dxa" w:w="1944"/>
            <w:vAlign w:val="center"/>
          </w:tcPr>
          <w:p>
            <w:pPr>
              <w:spacing w:after="0"/>
              <w:jc w:val="left"/>
            </w:pPr>
            <w:r/>
            <w:r>
              <w:rPr>
                <w:rFonts w:ascii="Noto Sans CJK SC" w:hAnsi="Noto Sans CJK SC" w:eastAsia="Noto Sans CJK SC"/>
                <w:b w:val="0"/>
                <w:sz w:val="17"/>
              </w:rPr>
              <w:t>通道级选择入口</w:t>
            </w:r>
          </w:p>
        </w:tc>
        <w:tc>
          <w:tcPr>
            <w:tcW w:type="dxa" w:w="6408"/>
            <w:vAlign w:val="center"/>
          </w:tcPr>
          <w:p>
            <w:pPr>
              <w:spacing w:after="0"/>
              <w:jc w:val="left"/>
            </w:pPr>
            <w:r/>
            <w:r>
              <w:rPr>
                <w:rFonts w:ascii="Noto Sans CJK SC" w:hAnsi="Noto Sans CJK SC" w:eastAsia="Noto Sans CJK SC"/>
                <w:b w:val="0"/>
                <w:sz w:val="17"/>
              </w:rPr>
              <w:t>【样本】页面的 A、B、C、D 每个通道卡片必须各提供一个【选择实验脚本】入口。未选择时显示“当前实验脚本：未选择”；已选择时显示实验类型、流程名称和版本。</w:t>
            </w:r>
          </w:p>
        </w:tc>
        <w:tc>
          <w:tcPr>
            <w:tcW w:type="dxa" w:w="2448"/>
            <w:vAlign w:val="center"/>
          </w:tcPr>
          <w:p>
            <w:pPr>
              <w:spacing w:after="0"/>
              <w:jc w:val="left"/>
            </w:pPr>
            <w:r/>
            <w:r>
              <w:rPr>
                <w:rFonts w:ascii="Noto Sans CJK SC" w:hAnsi="Noto Sans CJK SC" w:eastAsia="Noto Sans CJK SC"/>
                <w:b w:val="0"/>
                <w:sz w:val="17"/>
              </w:rPr>
              <w:t>4 个通道均存在且仅存在一个通道级脚本选择入口。</w:t>
            </w:r>
          </w:p>
        </w:tc>
      </w:tr>
      <w:tr>
        <w:tc>
          <w:tcPr>
            <w:tcW w:type="dxa" w:w="1944"/>
            <w:vAlign w:val="center"/>
          </w:tcPr>
          <w:p>
            <w:pPr>
              <w:spacing w:after="0"/>
              <w:jc w:val="left"/>
            </w:pPr>
            <w:r/>
            <w:r>
              <w:rPr>
                <w:rFonts w:ascii="Noto Sans CJK SC" w:hAnsi="Noto Sans CJK SC" w:eastAsia="Noto Sans CJK SC"/>
                <w:b w:val="0"/>
                <w:sz w:val="17"/>
              </w:rPr>
              <w:t>统一实验类型与脚本</w:t>
            </w:r>
          </w:p>
        </w:tc>
        <w:tc>
          <w:tcPr>
            <w:tcW w:type="dxa" w:w="6408"/>
            <w:vAlign w:val="center"/>
          </w:tcPr>
          <w:p>
            <w:pPr>
              <w:spacing w:after="0"/>
              <w:jc w:val="left"/>
            </w:pPr>
            <w:r/>
            <w:r>
              <w:rPr>
                <w:rFonts w:ascii="Noto Sans CJK SC" w:hAnsi="Noto Sans CJK SC" w:eastAsia="Noto Sans CJK SC"/>
                <w:b w:val="0"/>
                <w:sz w:val="17"/>
              </w:rPr>
              <w:t>一个活动 ChannelBatch 只能绑定一个 ExperimentType 和一个已发布 WorkflowVersion。同通道内不得混用 HE/IHC，也不得混用不同流程版本。</w:t>
            </w:r>
          </w:p>
        </w:tc>
        <w:tc>
          <w:tcPr>
            <w:tcW w:type="dxa" w:w="2448"/>
            <w:vAlign w:val="center"/>
          </w:tcPr>
          <w:p>
            <w:pPr>
              <w:spacing w:after="0"/>
              <w:jc w:val="left"/>
            </w:pPr>
            <w:r/>
            <w:r>
              <w:rPr>
                <w:rFonts w:ascii="Noto Sans CJK SC" w:hAnsi="Noto Sans CJK SC" w:eastAsia="Noto Sans CJK SC"/>
                <w:b w:val="0"/>
                <w:sz w:val="17"/>
              </w:rPr>
              <w:t>同一通道内 1-4 张玻片均继承同一流程版本与流程快照。</w:t>
            </w:r>
          </w:p>
        </w:tc>
      </w:tr>
      <w:tr>
        <w:tc>
          <w:tcPr>
            <w:tcW w:type="dxa" w:w="1944"/>
            <w:vAlign w:val="center"/>
          </w:tcPr>
          <w:p>
            <w:pPr>
              <w:spacing w:after="0"/>
              <w:jc w:val="left"/>
            </w:pPr>
            <w:r/>
            <w:r>
              <w:rPr>
                <w:rFonts w:ascii="Noto Sans CJK SC" w:hAnsi="Noto Sans CJK SC" w:eastAsia="Noto Sans CJK SC"/>
                <w:b w:val="0"/>
                <w:sz w:val="17"/>
              </w:rPr>
              <w:t>玻片任务继承</w:t>
            </w:r>
          </w:p>
        </w:tc>
        <w:tc>
          <w:tcPr>
            <w:tcW w:type="dxa" w:w="6408"/>
            <w:vAlign w:val="center"/>
          </w:tcPr>
          <w:p>
            <w:pPr>
              <w:spacing w:after="0"/>
              <w:jc w:val="left"/>
            </w:pPr>
            <w:r/>
            <w:r>
              <w:rPr>
                <w:rFonts w:ascii="Noto Sans CJK SC" w:hAnsi="Noto Sans CJK SC" w:eastAsia="Noto Sans CJK SC"/>
                <w:b w:val="0"/>
                <w:sz w:val="17"/>
              </w:rPr>
              <w:t>SlideTask 保存自己的玻片码、LIS 结果、最终确认一抗代码和兼容性结果，但不得作为独立选择流程版本的权威主体。</w:t>
            </w:r>
          </w:p>
        </w:tc>
        <w:tc>
          <w:tcPr>
            <w:tcW w:type="dxa" w:w="2448"/>
            <w:vAlign w:val="center"/>
          </w:tcPr>
          <w:p>
            <w:pPr>
              <w:spacing w:after="0"/>
              <w:jc w:val="left"/>
            </w:pPr>
            <w:r/>
            <w:r>
              <w:rPr>
                <w:rFonts w:ascii="Noto Sans CJK SC" w:hAnsi="Noto Sans CJK SC" w:eastAsia="Noto Sans CJK SC"/>
                <w:b w:val="0"/>
                <w:sz w:val="17"/>
              </w:rPr>
              <w:t>Slot 卡片只显示“继承通道脚本”；不存在单玻片【选择实验脚本】入口。</w:t>
            </w:r>
          </w:p>
        </w:tc>
      </w:tr>
      <w:tr>
        <w:tc>
          <w:tcPr>
            <w:tcW w:type="dxa" w:w="1944"/>
            <w:vAlign w:val="center"/>
          </w:tcPr>
          <w:p>
            <w:pPr>
              <w:spacing w:after="0"/>
              <w:jc w:val="left"/>
            </w:pPr>
            <w:r/>
            <w:r>
              <w:rPr>
                <w:rFonts w:ascii="Noto Sans CJK SC" w:hAnsi="Noto Sans CJK SC" w:eastAsia="Noto Sans CJK SC"/>
                <w:b w:val="0"/>
                <w:sz w:val="17"/>
              </w:rPr>
              <w:t>IHC 兼容性校验</w:t>
            </w:r>
          </w:p>
        </w:tc>
        <w:tc>
          <w:tcPr>
            <w:tcW w:type="dxa" w:w="6408"/>
            <w:vAlign w:val="center"/>
          </w:tcPr>
          <w:p>
            <w:pPr>
              <w:spacing w:after="0"/>
              <w:jc w:val="left"/>
            </w:pPr>
            <w:r/>
            <w:r>
              <w:rPr>
                <w:rFonts w:ascii="Noto Sans CJK SC" w:hAnsi="Noto Sans CJK SC" w:eastAsia="Noto Sans CJK SC"/>
                <w:b w:val="0"/>
                <w:sz w:val="17"/>
              </w:rPr>
              <w:t>IHC 样本扫码/LIS 查询后，根据已发布的一抗代码-WorkflowVersion 映射校验其是否与通道已选脚本兼容。样本不兼容时不得加入该通道。</w:t>
            </w:r>
          </w:p>
        </w:tc>
        <w:tc>
          <w:tcPr>
            <w:tcW w:type="dxa" w:w="2448"/>
            <w:vAlign w:val="center"/>
          </w:tcPr>
          <w:p>
            <w:pPr>
              <w:spacing w:after="0"/>
              <w:jc w:val="left"/>
            </w:pPr>
            <w:r/>
            <w:r>
              <w:rPr>
                <w:rFonts w:ascii="Noto Sans CJK SC" w:hAnsi="Noto Sans CJK SC" w:eastAsia="Noto Sans CJK SC"/>
                <w:b w:val="0"/>
                <w:sz w:val="17"/>
              </w:rPr>
              <w:t>系统提示不兼容原因，并提示更换通道或按规则调整未启动通道脚本。</w:t>
            </w:r>
          </w:p>
        </w:tc>
      </w:tr>
      <w:tr>
        <w:tc>
          <w:tcPr>
            <w:tcW w:type="dxa" w:w="1944"/>
            <w:vAlign w:val="center"/>
          </w:tcPr>
          <w:p>
            <w:pPr>
              <w:spacing w:after="0"/>
              <w:jc w:val="left"/>
            </w:pPr>
            <w:r/>
            <w:r>
              <w:rPr>
                <w:rFonts w:ascii="Noto Sans CJK SC" w:hAnsi="Noto Sans CJK SC" w:eastAsia="Noto Sans CJK SC"/>
                <w:b w:val="0"/>
                <w:sz w:val="17"/>
              </w:rPr>
              <w:t>脚本锁定与追加限制</w:t>
            </w:r>
          </w:p>
        </w:tc>
        <w:tc>
          <w:tcPr>
            <w:tcW w:type="dxa" w:w="6408"/>
            <w:vAlign w:val="center"/>
          </w:tcPr>
          <w:p>
            <w:pPr>
              <w:spacing w:after="0"/>
              <w:jc w:val="left"/>
            </w:pPr>
            <w:r/>
            <w:r>
              <w:rPr>
                <w:rFonts w:ascii="Noto Sans CJK SC" w:hAnsi="Noto Sans CJK SC" w:eastAsia="Noto Sans CJK SC"/>
                <w:b w:val="0"/>
                <w:sz w:val="17"/>
              </w:rPr>
              <w:t>通道启动后锁定实验类型、流程版本和流程快照；运行中不得修改脚本，也不得追加玻片。</w:t>
            </w:r>
          </w:p>
        </w:tc>
        <w:tc>
          <w:tcPr>
            <w:tcW w:type="dxa" w:w="2448"/>
            <w:vAlign w:val="center"/>
          </w:tcPr>
          <w:p>
            <w:pPr>
              <w:spacing w:after="0"/>
              <w:jc w:val="left"/>
            </w:pPr>
            <w:r/>
            <w:r>
              <w:rPr>
                <w:rFonts w:ascii="Noto Sans CJK SC" w:hAnsi="Noto Sans CJK SC" w:eastAsia="Noto Sans CJK SC"/>
                <w:b w:val="0"/>
                <w:sz w:val="17"/>
              </w:rPr>
              <w:t>运行中脚本选择控件禁用并说明原因；新增玻片操作被拒绝。</w:t>
            </w:r>
          </w:p>
        </w:tc>
      </w:tr>
      <w:tr>
        <w:tc>
          <w:tcPr>
            <w:tcW w:type="dxa" w:w="1944"/>
            <w:vAlign w:val="center"/>
          </w:tcPr>
          <w:p>
            <w:pPr>
              <w:spacing w:after="0"/>
              <w:jc w:val="left"/>
            </w:pPr>
            <w:r/>
            <w:r>
              <w:rPr>
                <w:rFonts w:ascii="Noto Sans CJK SC" w:hAnsi="Noto Sans CJK SC" w:eastAsia="Noto Sans CJK SC"/>
                <w:b w:val="0"/>
                <w:sz w:val="17"/>
              </w:rPr>
              <w:t>预启动变更</w:t>
            </w:r>
          </w:p>
        </w:tc>
        <w:tc>
          <w:tcPr>
            <w:tcW w:type="dxa" w:w="6408"/>
            <w:vAlign w:val="center"/>
          </w:tcPr>
          <w:p>
            <w:pPr>
              <w:spacing w:after="0"/>
              <w:jc w:val="left"/>
            </w:pPr>
            <w:r/>
            <w:r>
              <w:rPr>
                <w:rFonts w:ascii="Noto Sans CJK SC" w:hAnsi="Noto Sans CJK SC" w:eastAsia="Noto Sans CJK SC"/>
                <w:b w:val="0"/>
                <w:sz w:val="17"/>
              </w:rPr>
              <w:t>通道已有玻片但尚未启动时是否允许更换脚本，以及扫码与脚本选择的先后顺序，见配套待确认事项清单。</w:t>
            </w:r>
          </w:p>
        </w:tc>
        <w:tc>
          <w:tcPr>
            <w:tcW w:type="dxa" w:w="2448"/>
            <w:vAlign w:val="center"/>
          </w:tcPr>
          <w:p>
            <w:pPr>
              <w:spacing w:after="0"/>
              <w:jc w:val="left"/>
            </w:pPr>
            <w:r/>
            <w:r>
              <w:rPr>
                <w:rFonts w:ascii="Noto Sans CJK SC" w:hAnsi="Noto Sans CJK SC" w:eastAsia="Noto Sans CJK SC"/>
                <w:b w:val="0"/>
                <w:sz w:val="17"/>
              </w:rPr>
              <w:t>未形成正式结论前，页面不得默认提供会导致混用或快照不一致的更换逻辑。</w:t>
            </w:r>
          </w:p>
        </w:tc>
      </w:tr>
    </w:tbl>
    <w:p>
      <w:pPr>
        <w:spacing w:after="0"/>
      </w:pPr>
    </w:p>
    <w:p>
      <w:pPr>
        <w:pStyle w:val="Heading1"/>
        <w:spacing w:before="160" w:after="80"/>
      </w:pPr>
      <w:r>
        <w:rPr>
          <w:rFonts w:ascii="Noto Sans CJK SC" w:hAnsi="Noto Sans CJK SC" w:eastAsia="Noto Sans CJK SC"/>
        </w:rPr>
        <w:t>5. 协议/脚本、流程映射与版本管理</w:t>
      </w:r>
    </w:p>
    <w:p>
      <w:pPr>
        <w:spacing w:after="60" w:line="276" w:lineRule="auto"/>
      </w:pPr>
      <w:r>
        <w:rPr>
          <w:rFonts w:ascii="Noto Sans CJK SC" w:hAnsi="Noto Sans CJK SC" w:eastAsia="Noto Sans CJK SC"/>
          <w:sz w:val="19"/>
        </w:rPr>
        <w:t>首版流程类型限定为 IHC 和 HE。IHC 为“前处理 → 一抗 → 二抗 → DAB → 苏木素与终洗”；HE 从“苏木素与终洗”开始。协议应是版本化、可发布的配置对象，而不是将实验参数写死在代码中。</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功能</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要求</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流程生命周期</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管理员可创建草稿、复制、编辑、发布、停用流程。已发布流程不可直接覆盖修改；变更后应形成新版本。</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步骤类型</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至少支持：加液、已加液后等待/孵育、通道清洗、通道混匀、温控、洗针、DAB 自动配制、排毒/排废、人工确认和大步骤边界。</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参数化</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步骤可引用试剂代码、体积、温度、时长、液体类型、洗针、混匀、资源需求与失败策略。</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一抗-脚本映射</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维护一抗代码、脚本 ID、脚本名称、版本、发布状态和默认排序/推荐规则；同代码可关联多个脚本。</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通道批次快照</w:t>
            </w:r>
          </w:p>
        </w:tc>
        <w:tc>
          <w:tcPr>
            <w:tcW w:type="dxa" w:w="7370"/>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通道批次确认脚本时固化流程版本、步骤/试剂要求快照、液体类型版本、坐标版本和关键配置版本；同通道任务引用该快照。</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运行限制</w:t>
            </w:r>
          </w:p>
        </w:tc>
        <w:tc>
          <w:tcPr>
            <w:tcW w:type="dxa" w:w="7370"/>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活动通道批次引用的流程、关键液体参数和坐标配置不得被修改；运行中不得变更通道脚本或追加玻片。</w:t>
            </w:r>
          </w:p>
        </w:tc>
      </w:tr>
    </w:tbl>
    <w:p>
      <w:pPr>
        <w:spacing w:after="0"/>
      </w:pPr>
    </w:p>
    <w:p>
      <w:pPr>
        <w:pStyle w:val="Heading1"/>
        <w:spacing w:before="160" w:after="80"/>
      </w:pPr>
      <w:r>
        <w:rPr>
          <w:rFonts w:ascii="Noto Sans CJK SC" w:hAnsi="Noto Sans CJK SC" w:eastAsia="Noto Sans CJK SC"/>
        </w:rPr>
        <w:t>6. 试剂瓶条码、列扫码、目录与库存管理</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04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字段</w:t>
            </w:r>
          </w:p>
        </w:tc>
        <w:tc>
          <w:tcPr>
            <w:tcW w:type="dxa" w:w="1134"/>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长度</w:t>
            </w:r>
          </w:p>
        </w:tc>
        <w:tc>
          <w:tcPr>
            <w:tcW w:type="dxa" w:w="6463"/>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规则</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试剂代码</w:t>
            </w:r>
          </w:p>
        </w:tc>
        <w:tc>
          <w:tcPr>
            <w:tcW w:type="dxa" w:w="113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3 位</w:t>
            </w:r>
          </w:p>
        </w:tc>
        <w:tc>
          <w:tcPr>
            <w:tcW w:type="dxa" w:w="6463"/>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通过试剂目录识别名称、类别、用途、保质期与液体参数。解析器不得仅以首字符硬编码类别。</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试剂数量</w:t>
            </w:r>
          </w:p>
        </w:tc>
        <w:tc>
          <w:tcPr>
            <w:tcW w:type="dxa" w:w="113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3 位</w:t>
            </w:r>
          </w:p>
        </w:tc>
        <w:tc>
          <w:tcPr>
            <w:tcW w:type="dxa" w:w="6463"/>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单位 0.1 mL；例如 999 表示 99.9 mL。作为该瓶初始理论可用量。</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生产批号</w:t>
            </w:r>
          </w:p>
        </w:tc>
        <w:tc>
          <w:tcPr>
            <w:tcW w:type="dxa" w:w="113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8 位</w:t>
            </w:r>
          </w:p>
        </w:tc>
        <w:tc>
          <w:tcPr>
            <w:tcW w:type="dxa" w:w="6463"/>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YYMMDDNN；YYMMDD 为生产日期，NN 为当日/批次流水号。</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序号</w:t>
            </w:r>
          </w:p>
        </w:tc>
        <w:tc>
          <w:tcPr>
            <w:tcW w:type="dxa" w:w="113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3 位</w:t>
            </w:r>
          </w:p>
        </w:tc>
        <w:tc>
          <w:tcPr>
            <w:tcW w:type="dxa" w:w="6463"/>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同批次的瓶实例编号。</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完整条码</w:t>
            </w:r>
          </w:p>
        </w:tc>
        <w:tc>
          <w:tcPr>
            <w:tcW w:type="dxa" w:w="113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17 位</w:t>
            </w:r>
          </w:p>
        </w:tc>
        <w:tc>
          <w:tcPr>
            <w:tcW w:type="dxa" w:w="6463"/>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3 位试剂代码 + 3 位数量 + 8 位生产批号 + 3 位序号；采用 Code 128 一维条码。</w:t>
            </w:r>
          </w:p>
        </w:tc>
      </w:tr>
    </w:tbl>
    <w:p>
      <w:pPr>
        <w:spacing w:after="0"/>
      </w:pP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试剂扫码通道</w:t>
            </w:r>
          </w:p>
        </w:tc>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物理列</w:t>
            </w:r>
          </w:p>
        </w:tc>
        <w:tc>
          <w:tcPr>
            <w:tcW w:type="dxa" w:w="510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逻辑试剂位</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ch1</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第 1 列</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R1-R8</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ch2</w:t>
            </w:r>
          </w:p>
        </w:tc>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第 2 列</w:t>
            </w:r>
          </w:p>
        </w:tc>
        <w:tc>
          <w:tcPr>
            <w:tcW w:type="dxa" w:w="510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R9-R16</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ch3</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第 3 列</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R17-R24</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ch4</w:t>
            </w:r>
          </w:p>
        </w:tc>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第 4 列</w:t>
            </w:r>
          </w:p>
        </w:tc>
        <w:tc>
          <w:tcPr>
            <w:tcW w:type="dxa" w:w="510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R25-R32</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ch5</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第 5 列</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R33-R40</w:t>
            </w:r>
          </w:p>
        </w:tc>
      </w:tr>
    </w:tbl>
    <w:p>
      <w:pPr>
        <w:spacing w:after="0"/>
      </w:pP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1814"/>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扫描状态</w:t>
            </w:r>
          </w:p>
        </w:tc>
        <w:tc>
          <w:tcPr>
            <w:tcW w:type="dxa" w:w="28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含义</w:t>
            </w:r>
          </w:p>
        </w:tc>
        <w:tc>
          <w:tcPr>
            <w:tcW w:type="dxa" w:w="4989"/>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业务处理</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EMPTY（0）</w:t>
            </w:r>
          </w:p>
        </w:tc>
        <w:tc>
          <w:tcPr>
            <w:tcW w:type="dxa" w:w="28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无瓶</w:t>
            </w:r>
          </w:p>
        </w:tc>
        <w:tc>
          <w:tcPr>
            <w:tcW w:type="dxa" w:w="498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该位置为空，不作为可用试剂。</w:t>
            </w:r>
          </w:p>
        </w:tc>
      </w:tr>
      <w:tr>
        <w:tc>
          <w:tcPr>
            <w:tcW w:type="dxa" w:w="181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VALID（1）</w:t>
            </w:r>
          </w:p>
        </w:tc>
        <w:tc>
          <w:tcPr>
            <w:tcW w:type="dxa" w:w="28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正常有码</w:t>
            </w:r>
          </w:p>
        </w:tc>
        <w:tc>
          <w:tcPr>
            <w:tcW w:type="dxa" w:w="4989"/>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解析 17 位条码，建立“位置-条码实例-目录-批号-余量”关系，进入有效期与余量校验。</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INVALID（2）</w:t>
            </w:r>
          </w:p>
        </w:tc>
        <w:tc>
          <w:tcPr>
            <w:tcW w:type="dxa" w:w="28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扫码失败、损坏或无码</w:t>
            </w:r>
          </w:p>
        </w:tc>
        <w:tc>
          <w:tcPr>
            <w:tcW w:type="dxa" w:w="498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该位置异常；提示重新扫码或更换试剂瓶，不作为可用试剂。</w:t>
            </w:r>
          </w:p>
        </w:tc>
      </w:tr>
    </w:tbl>
    <w:p>
      <w:pPr>
        <w:spacing w:after="0"/>
      </w:pP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库存规则</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已冻结要求</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单瓶追溯</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每瓶独立记录位置、完整条码、批号、初始量、理论剩余量、最近扫描时间与消耗明细。</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总余量</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同一试剂代码的多瓶余量可合并判断当前已确认、未完成任务是否有足够试剂。</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跨瓶补足</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一瓶不足但同代码多瓶总量足够时，允许同一次加液依次使用多瓶补足；不同批号同种试剂允许混用。</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自动切换</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某瓶余量不足/耗尽时，允许自动切换到另一瓶同代码、有效且有余量的试剂。</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耗尽提示</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单瓶理论余量扣减至 0 mL 时弹窗提示；首版不要求低余量预警。</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目录缺失</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二抗、阻断剂、清洗液、HRP、DAB A/B、苏木素等正式代码与目录数据上线前需补齐；Mock 可使用测试目录。</w:t>
            </w:r>
          </w:p>
        </w:tc>
      </w:tr>
    </w:tbl>
    <w:p>
      <w:pPr>
        <w:spacing w:after="0"/>
      </w:pPr>
    </w:p>
    <w:tbl>
      <w:tblPr>
        <w:tblW w:type="auto" w:w="0"/>
        <w:jc w:val="center"/>
        <w:tblLook w:firstColumn="1" w:firstRow="1" w:lastColumn="0" w:lastRow="0" w:noHBand="0" w:noVBand="1" w:val="04A0"/>
      </w:tblPr>
      <w:tblGrid>
        <w:gridCol w:w="10483"/>
      </w:tblGrid>
      <w:tr>
        <w:tc>
          <w:tcPr>
            <w:tcW w:type="dxa" w:w="10483"/>
            <w:shd w:fill="FCE4D6"/>
            <w:tcBorders>
              <w:top w:val="single" w:sz="4" w:color="9CC2E5"/>
              <w:left w:val="single" w:sz="4" w:color="9CC2E5"/>
              <w:bottom w:val="single" w:sz="4" w:color="9CC2E5"/>
              <w:right w:val="single" w:sz="4" w:color="9CC2E5"/>
            </w:tcBorders>
          </w:tcPr>
          <w:p>
            <w:pPr>
              <w:spacing w:before="0" w:after="0"/>
            </w:pPr>
            <w:r>
              <w:rPr>
                <w:rFonts w:ascii="Noto Sans CJK SC" w:hAnsi="Noto Sans CJK SC" w:eastAsia="Noto Sans CJK SC"/>
                <w:b/>
                <w:color w:val="1F4E79"/>
                <w:sz w:val="18"/>
              </w:rPr>
              <w:t>统一启动校验：</w:t>
            </w:r>
            <w:r>
              <w:rPr>
                <w:rFonts w:ascii="Noto Sans CJK SC" w:hAnsi="Noto Sans CJK SC" w:eastAsia="Noto Sans CJK SC"/>
                <w:sz w:val="18"/>
              </w:rPr>
              <w:t>上位机必须对样本区内全部“已确认、未完成”任务汇总所需试剂。任何所需试剂缺失、EMPTY、INVALID、条码格式错误、目录未知、已过期或理论总余量不足，均禁止整机启动；不允许管理员或操作员覆盖。VALID 但当前任务不需要的试剂可保留，仅提示“当前未使用”。</w:t>
            </w:r>
          </w:p>
        </w:tc>
      </w:tr>
    </w:tbl>
    <w:p>
      <w:pPr>
        <w:spacing w:after="0"/>
      </w:pPr>
    </w:p>
    <w:p>
      <w:pPr>
        <w:pStyle w:val="Heading1"/>
        <w:spacing w:before="160" w:after="80"/>
      </w:pPr>
      <w:r>
        <w:rPr>
          <w:rFonts w:ascii="Noto Sans CJK SC" w:hAnsi="Noto Sans CJK SC" w:eastAsia="Noto Sans CJK SC"/>
        </w:rPr>
        <w:t>7. DAB 自动配制与临时配液区</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项目</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已冻结规则</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配制方式</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设备自动配制；A:B:水 = 1:1:18。</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用量</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每片 0.20 mL；额外 0.40 mL 为本次移液/管路余量，不作为后续任务库存。</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位置</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试剂架右侧洗针/配液区中部设 8 个 DAB 临时配液位置（2 列×4 行，M1-M8）；每次配制使用新试管并占用 1 个位置。DAB A/B 原液位于配液区下方两个大位。</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有效期</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从配制完成开始计时 3 小时。</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过期</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若本批既定 DAB 操作未完成即过期，标记不可用，自动触发重新配制并弹窗提示。</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位置耗尽</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8 个位置均已使用时禁止继续自动配制，提示操作员清洗 DAB 配液区及已使用配液容器；确认后恢复可用。</w:t>
            </w:r>
          </w:p>
        </w:tc>
      </w:tr>
    </w:tbl>
    <w:p>
      <w:pPr>
        <w:spacing w:after="0"/>
      </w:pPr>
    </w:p>
    <w:p>
      <w:pPr>
        <w:pStyle w:val="Heading1"/>
        <w:spacing w:before="160" w:after="80"/>
      </w:pPr>
      <w:r>
        <w:rPr>
          <w:rFonts w:ascii="Noto Sans CJK SC" w:hAnsi="Noto Sans CJK SC" w:eastAsia="Noto Sans CJK SC"/>
        </w:rPr>
        <w:t>8. 执行、调度、温控、清洗、混匀与双针</w:t>
      </w:r>
    </w:p>
    <w:p>
      <w:pPr>
        <w:spacing w:after="60" w:line="276" w:lineRule="auto"/>
      </w:pPr>
      <w:r>
        <w:rPr>
          <w:rFonts w:ascii="Noto Sans CJK SC" w:hAnsi="Noto Sans CJK SC" w:eastAsia="Noto Sans CJK SC"/>
          <w:sz w:val="19"/>
        </w:rPr>
        <w:t>IHC 在 HE 尚未开始加液时执行前处理与前置清洗，HE 玻片受该清洗作用不构成首版冲突。首版不支持其他流程类型，不实现通用的“任意脚本共享清洗/混匀兼容矩阵”。</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381"/>
            <w:vAlign w:val="center"/>
            <w:shd w:fill="1F4E79"/>
            <w:tcBorders>
              <w:top w:val="single" w:sz="6" w:color="FFFFFF"/>
              <w:left w:val="single" w:sz="4" w:color="FFFFFF"/>
              <w:bottom w:val="single" w:sz="6" w:color="FFFFFF"/>
              <w:right w:val="single" w:sz="4" w:color="FFFFFF"/>
            </w:tcBorders>
          </w:tcPr>
          <w:p>
            <w:pPr>
              <w:spacing w:after="0" w:before="0"/>
              <w:jc w:val="left"/>
            </w:pPr>
            <w:r/>
            <w:r>
              <w:rPr>
                <w:rFonts w:ascii="Microsoft YaHei" w:hAnsi="Microsoft YaHei" w:eastAsia="Microsoft YaHei"/>
                <w:b/>
                <w:sz w:val="16"/>
              </w:rPr>
              <w:t>资源/规则</w:t>
            </w:r>
          </w:p>
        </w:tc>
        <w:tc>
          <w:tcPr>
            <w:tcW w:type="dxa" w:w="7257"/>
            <w:vAlign w:val="center"/>
            <w:shd w:fill="1F4E79"/>
            <w:tcBorders>
              <w:top w:val="single" w:sz="6" w:color="FFFFFF"/>
              <w:left w:val="single" w:sz="4" w:color="FFFFFF"/>
              <w:bottom w:val="single" w:sz="6" w:color="FFFFFF"/>
              <w:right w:val="single" w:sz="4" w:color="FFFFFF"/>
            </w:tcBorders>
          </w:tcPr>
          <w:p>
            <w:pPr>
              <w:spacing w:after="0" w:before="0"/>
              <w:jc w:val="left"/>
            </w:pPr>
            <w:r/>
            <w:r>
              <w:rPr>
                <w:rFonts w:ascii="Microsoft YaHei" w:hAnsi="Microsoft YaHei" w:eastAsia="Microsoft YaHei"/>
                <w:b/>
                <w:sz w:val="16"/>
              </w:rPr>
              <w:t>要求</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16 Slot 温控</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主控协议 V1.0.4 已确认 4 块加热板（HeatBoard 0-3），每板 4 个独立加热点（HeatPoint 0-3），共 16 点。映射固定为：Drawer A/B/C/D → HeatBoard 0/1/2/3；各抽屉 Slot 1-4（下→上）→ HeatPoint 0-3（下→上），即 HeatPoint = Slot 编号 - 1。每点可独立设定目标温度、开关和读取当前温度；每板支持 4 点批量设置与批量查询当前温度、目标温度、开关状态。温度字段为 INT16、单位 1℃。</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通道清洗</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每通道一个清洗泵；同一通道的 4 个出口同步出液，即使仅装载部分玻片。PWM0-PWM3 对应通道0-3的清洗泵；设置值为 INT16，范围 -100~+100，0 为停止，正值为正抽，负值为反抽。软件默认将通道0-3映射为 Drawer A-D，并允许在硬件配置中复核。日志必须记录为“通道清洗”，并记录 PWM 方向、设定值、时长与反馈。</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通道混匀</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同通道混匀按通道组同步。对于同一轮试剂，参与该轮的玻片完成加液后才可执行混匀。</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双针</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t>两针安装于同一机械臂。Needle1 为最里面针/机械原点，Needle2 位于 X 正方向 +25 mm；SDK 已支持多移液器联动、双 X 轴设备与多轴同步控制。实际 Y 轴拓扑、异步并行与洗针占用待联调。Mock 保守默认：共享平台动作互斥，不假定任意异步并行。</w:t>
            </w:r>
            <w:r>
              <w:rPr>
                <w:rFonts w:ascii="Noto Sans CJK SC" w:hAnsi="Noto Sans CJK SC" w:eastAsia="Noto Sans CJK SC"/>
                <w:b w:val="0"/>
                <w:sz w:val="17"/>
              </w:rPr>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洗针</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每次加样后按流程执行洗针。IHC 示例默认 4 s 打水 → 2 s 停顿 → 4 s 打水；实际配置应版本化。</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调度</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任务调度需考虑试剂位、双针、清洗站、DAB 位置、通道泵、通道混匀、温控和抽屉状态等资源。真实优化器/OR-Tools 可作为后续优化，不阻塞首版 Mock。</w:t>
            </w:r>
          </w:p>
        </w:tc>
      </w:tr>
      <w:tr>
        <w:tc>
          <w:tcPr>
            <w:tcW w:type="dxa" w:w="5241"/>
            <w:vAlign w:val="center"/>
          </w:tcPr>
          <w:p>
            <w:pPr>
              <w:spacing w:after="0" w:before="0"/>
              <w:jc w:val="left"/>
            </w:pPr>
            <w:r/>
            <w:r>
              <w:rPr>
                <w:rFonts w:ascii="Microsoft YaHei" w:hAnsi="Microsoft YaHei" w:eastAsia="Microsoft YaHei"/>
                <w:b w:val="0"/>
                <w:sz w:val="16"/>
              </w:rPr>
              <w:t>温控稳定与异常</w:t>
            </w:r>
          </w:p>
        </w:tc>
        <w:tc>
          <w:tcPr>
            <w:tcW w:type="dxa" w:w="5241"/>
            <w:vAlign w:val="center"/>
          </w:tcPr>
          <w:p>
            <w:pPr>
              <w:spacing w:after="0" w:before="0"/>
              <w:jc w:val="left"/>
            </w:pPr>
            <w:r/>
            <w:r>
              <w:rPr>
                <w:rFonts w:ascii="Microsoft YaHei" w:hAnsi="Microsoft YaHei" w:eastAsia="Microsoft YaHei"/>
                <w:b w:val="0"/>
                <w:sz w:val="16"/>
              </w:rPr>
              <w:t>协议接口已冻结；温控稳定判定阈值、升温超时、超温/传感器异常和断电后的业务恢复规则仍由待确认清单 P1-01 在联调前确定。上位机必须按 HeatBoard/HeatPoint 记录每个 Slot 的实际温度、目标温度和开关状态。</w:t>
            </w:r>
          </w:p>
        </w:tc>
      </w:tr>
    </w:tbl>
    <w:p>
      <w:pPr>
        <w:spacing w:after="0"/>
      </w:pPr>
    </w:p>
    <w:p>
      <w:pPr>
        <w:pStyle w:val="Heading1"/>
        <w:spacing w:before="160" w:after="80"/>
      </w:pPr>
      <w:r>
        <w:rPr>
          <w:rFonts w:ascii="Noto Sans CJK SC" w:hAnsi="Noto Sans CJK SC" w:eastAsia="Noto Sans CJK SC"/>
        </w:rPr>
        <w:t>9. 暂停、普通整机停止、故障与恢复</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38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场景</w:t>
            </w:r>
          </w:p>
        </w:tc>
        <w:tc>
          <w:tcPr>
            <w:tcW w:type="dxa" w:w="7257"/>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已冻结规则</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普通暂停</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暂停请求在当前原子动作完成后生效；暂停期间不再启动新动作并停止加热。</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已加液后等待/孵育</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剩余计时直接终止并清零；恢复后不重复加液、不重新加热、不重新计时，直接进入下一步骤。</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普通整机停止</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首版仅支持整机停止。当前原子动作完成后停止后续调度；机械臂回安全位，停止加热、泵和混匀；未完成任务标记“已停止/待处理”。</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故障</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任一设备、通信、温控或机械臂异常触发整机故障暂停；不再发起新动作。急停、碰撞、限位等硬件安全故障由底层安全联锁优先处置。</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安全玻片</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已位于已完成大步骤安全检查点的其他玻片，操作员确认后可从下一大步骤继续。</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状态不确定玻片</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不得从故障中间自动继续。操作员可选择“从当前大步骤起点重做”；系统弹出风险提示并记录操作员、时间、故障类型和重做原因。</w:t>
            </w:r>
          </w:p>
        </w:tc>
      </w:tr>
    </w:tbl>
    <w:p>
      <w:pPr>
        <w:spacing w:after="0"/>
      </w:pPr>
    </w:p>
    <w:tbl>
      <w:tblPr>
        <w:tblStyle w:val="TableGrid"/>
        <w:tblW w:type="auto" w:w="0"/>
        <w:jc w:val="center"/>
        <w:tblLook w:firstColumn="1" w:firstRow="1" w:lastColumn="0" w:lastRow="0" w:noHBand="0" w:noVBand="1" w:val="04A0"/>
      </w:tblPr>
      <w:tblGrid>
        <w:gridCol w:w="2621"/>
        <w:gridCol w:w="2621"/>
        <w:gridCol w:w="2621"/>
        <w:gridCol w:w="2621"/>
      </w:tblGrid>
      <w:tr>
        <w:trPr>
          <w:tblHeader w:val="true"/>
        </w:trPr>
        <w:tc>
          <w:tcPr>
            <w:tcW w:type="dxa" w:w="1247"/>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流程</w:t>
            </w:r>
          </w:p>
        </w:tc>
        <w:tc>
          <w:tcPr>
            <w:tcW w:type="dxa" w:w="187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大步骤</w:t>
            </w:r>
          </w:p>
        </w:tc>
        <w:tc>
          <w:tcPr>
            <w:tcW w:type="dxa" w:w="425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包含内容</w:t>
            </w:r>
          </w:p>
        </w:tc>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安全检查点</w:t>
            </w:r>
          </w:p>
        </w:tc>
      </w:tr>
      <w:tr>
        <w:tc>
          <w:tcPr>
            <w:tcW w:type="dxa" w:w="124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IHC</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前处理</w:t>
            </w:r>
          </w:p>
        </w:tc>
        <w:tc>
          <w:tcPr>
            <w:tcW w:type="dxa" w:w="425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阻断剂加液 → 等待 → 清洗</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清洗完成</w:t>
            </w:r>
          </w:p>
        </w:tc>
      </w:tr>
      <w:tr>
        <w:tc>
          <w:tcPr>
            <w:tcW w:type="dxa" w:w="124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IHC</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一抗</w:t>
            </w:r>
          </w:p>
        </w:tc>
        <w:tc>
          <w:tcPr>
            <w:tcW w:type="dxa" w:w="425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一抗加液 → 孵育 → 清洗</w:t>
            </w:r>
          </w:p>
        </w:tc>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清洗完成</w:t>
            </w:r>
          </w:p>
        </w:tc>
      </w:tr>
      <w:tr>
        <w:tc>
          <w:tcPr>
            <w:tcW w:type="dxa" w:w="124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IHC</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二抗</w:t>
            </w:r>
          </w:p>
        </w:tc>
        <w:tc>
          <w:tcPr>
            <w:tcW w:type="dxa" w:w="425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二抗加液 → 孵育 → 清洗</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清洗完成</w:t>
            </w:r>
          </w:p>
        </w:tc>
      </w:tr>
      <w:tr>
        <w:tc>
          <w:tcPr>
            <w:tcW w:type="dxa" w:w="124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IHC</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DAB</w:t>
            </w:r>
          </w:p>
        </w:tc>
        <w:tc>
          <w:tcPr>
            <w:tcW w:type="dxa" w:w="425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自动配制/加液 → 显色 → 清洗</w:t>
            </w:r>
          </w:p>
        </w:tc>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清洗完成</w:t>
            </w:r>
          </w:p>
        </w:tc>
      </w:tr>
      <w:tr>
        <w:tc>
          <w:tcPr>
            <w:tcW w:type="dxa" w:w="124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IHC</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苏木素与终洗</w:t>
            </w:r>
          </w:p>
        </w:tc>
        <w:tc>
          <w:tcPr>
            <w:tcW w:type="dxa" w:w="425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苏木素加液 → 等待 → 终洗</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终洗完成</w:t>
            </w:r>
          </w:p>
        </w:tc>
      </w:tr>
      <w:tr>
        <w:tc>
          <w:tcPr>
            <w:tcW w:type="dxa" w:w="124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HE</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苏木素与终洗</w:t>
            </w:r>
          </w:p>
        </w:tc>
        <w:tc>
          <w:tcPr>
            <w:tcW w:type="dxa" w:w="425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苏木素加液 → 等待 → 终洗</w:t>
            </w:r>
          </w:p>
        </w:tc>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终洗完成</w:t>
            </w:r>
          </w:p>
        </w:tc>
      </w:tr>
    </w:tbl>
    <w:p>
      <w:pPr>
        <w:spacing w:after="0"/>
      </w:pPr>
    </w:p>
    <w:p>
      <w:pPr>
        <w:pStyle w:val="Heading1"/>
        <w:spacing w:before="160" w:after="80"/>
      </w:pPr>
      <w:r>
        <w:rPr>
          <w:rFonts w:ascii="Noto Sans CJK SC" w:hAnsi="Noto Sans CJK SC" w:eastAsia="Noto Sans CJK SC"/>
        </w:rPr>
        <w:t>10. 终端操作界面需求（UI）</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1814"/>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页面/区域</w:t>
            </w:r>
          </w:p>
        </w:tc>
        <w:tc>
          <w:tcPr>
            <w:tcW w:type="dxa" w:w="45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核心内容</w:t>
            </w:r>
          </w:p>
        </w:tc>
        <w:tc>
          <w:tcPr>
            <w:tcW w:type="dxa" w:w="328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主要操作</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登录与初始化</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账号密码、设备状态、自检清单、失败原因与重试。</w:t>
            </w:r>
          </w:p>
        </w:tc>
        <w:tc>
          <w:tcPr>
            <w:tcW w:type="dxa" w:w="328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登录、查看失败详情、授权重试。</w:t>
            </w:r>
          </w:p>
        </w:tc>
      </w:tr>
      <w:tr>
        <w:tc>
          <w:tcPr>
            <w:tcW w:type="dxa" w:w="1814"/>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首页/运行总览</w:t>
            </w:r>
          </w:p>
        </w:tc>
        <w:tc>
          <w:tcPr>
            <w:tcW w:type="dxa" w:w="4535"/>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A-D 四个抽屉卡片，每卡片 4 Slot；显示通道脚本、状态、当前流程、进度、告警、待卸载。</w:t>
            </w:r>
          </w:p>
        </w:tc>
        <w:tc>
          <w:tcPr>
            <w:tcW w:type="dxa" w:w="3288"/>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进入通道详情、选择通道实验脚本、创建继承通道脚本的任务、查看告警。</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样本确认</w:t>
            </w:r>
          </w:p>
        </w:tc>
        <w:tc>
          <w:tcPr>
            <w:tcW w:type="dxa" w:w="4535"/>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先在 A-D 通道卡片选择 HE/IHC 及已发布脚本；随后在 Slot 进行通灵码/医院码/HE 手动路径确认。IHC 仅校验样本一抗与通道脚本兼容性。</w:t>
            </w:r>
          </w:p>
        </w:tc>
        <w:tc>
          <w:tcPr>
            <w:tcW w:type="dxa" w:w="3288"/>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选择通道脚本、重新扫码、选择一抗候选、确认任务；不得在 Slot 内独立选择脚本。</w:t>
            </w:r>
          </w:p>
        </w:tc>
      </w:tr>
      <w:tr>
        <w:tc>
          <w:tcPr>
            <w:tcW w:type="dxa" w:w="181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试剂扫描与管理</w:t>
            </w:r>
          </w:p>
        </w:tc>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5×8 试剂架、ch1-ch5 扫描状态、R1-R40 条码、批号、有效期、余量和当前是否需要。</w:t>
            </w:r>
          </w:p>
        </w:tc>
        <w:tc>
          <w:tcPr>
            <w:tcW w:type="dxa" w:w="328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按列扫描、查看解析结果、重新扫码。</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启动校验弹窗</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缺失、无效、未知、过期、余量不足、涉及任务与处理建议。</w:t>
            </w:r>
          </w:p>
        </w:tc>
        <w:tc>
          <w:tcPr>
            <w:tcW w:type="dxa" w:w="328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返回处理；不提供绕过/强制启动。</w:t>
            </w:r>
          </w:p>
        </w:tc>
      </w:tr>
      <w:tr>
        <w:tc>
          <w:tcPr>
            <w:tcW w:type="dxa" w:w="181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运行详情</w:t>
            </w:r>
          </w:p>
        </w:tc>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每张玻片的大步骤、原子动作、温控、来源试剂、预计剩余时间、事件日志。</w:t>
            </w:r>
          </w:p>
        </w:tc>
        <w:tc>
          <w:tcPr>
            <w:tcW w:type="dxa" w:w="328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暂停、普通整机停止、查看日志。</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DAB 面板</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8 个临时位置（M1-M8）、当前批次、有效期倒计时、已使用位置与清洗提示。</w:t>
            </w:r>
          </w:p>
        </w:tc>
        <w:tc>
          <w:tcPr>
            <w:tcW w:type="dxa" w:w="328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查看；按规则确认清洗完成。</w:t>
            </w:r>
          </w:p>
        </w:tc>
      </w:tr>
      <w:tr>
        <w:tc>
          <w:tcPr>
            <w:tcW w:type="dxa" w:w="181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告警中心</w:t>
            </w:r>
          </w:p>
        </w:tc>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告警等级、来源、影响任务、建议、确认记录。</w:t>
            </w:r>
          </w:p>
        </w:tc>
        <w:tc>
          <w:tcPr>
            <w:tcW w:type="dxa" w:w="328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确认、查看关联日志、按权限重试。</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历史与导出</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任务、玻片、试剂消耗、告警、用户操作与配置版本。</w:t>
            </w:r>
          </w:p>
        </w:tc>
        <w:tc>
          <w:tcPr>
            <w:tcW w:type="dxa" w:w="328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按时间/通道/玻片/批号筛选与导出。</w:t>
            </w:r>
          </w:p>
        </w:tc>
      </w:tr>
    </w:tbl>
    <w:p>
      <w:pPr>
        <w:spacing w:after="0"/>
      </w:pPr>
    </w:p>
    <w:tbl>
      <w:tblPr>
        <w:tblW w:type="auto" w:w="0"/>
        <w:jc w:val="center"/>
        <w:tblLook w:firstColumn="1" w:firstRow="1" w:lastColumn="0" w:lastRow="0" w:noHBand="0" w:noVBand="1" w:val="04A0"/>
      </w:tblPr>
      <w:tblGrid>
        <w:gridCol w:w="10483"/>
      </w:tblGrid>
      <w:tr>
        <w:tc>
          <w:tcPr>
            <w:tcW w:type="dxa" w:w="10483"/>
            <w:shd w:fill="EDF5FB"/>
            <w:tcBorders>
              <w:top w:val="single" w:sz="4" w:color="9CC2E5"/>
              <w:left w:val="single" w:sz="4" w:color="9CC2E5"/>
              <w:bottom w:val="single" w:sz="4" w:color="9CC2E5"/>
              <w:right w:val="single" w:sz="4" w:color="9CC2E5"/>
            </w:tcBorders>
          </w:tcPr>
          <w:p>
            <w:pPr>
              <w:spacing w:before="0" w:after="0"/>
            </w:pPr>
            <w:r>
              <w:rPr>
                <w:rFonts w:ascii="Noto Sans CJK SC" w:hAnsi="Noto Sans CJK SC" w:eastAsia="Noto Sans CJK SC"/>
                <w:b/>
                <w:color w:val="1F4E79"/>
                <w:sz w:val="18"/>
              </w:rPr>
              <w:t>交互原则：</w:t>
            </w:r>
            <w:r>
              <w:rPr>
                <w:rFonts w:ascii="Noto Sans CJK SC" w:hAnsi="Noto Sans CJK SC" w:eastAsia="Noto Sans CJK SC"/>
                <w:sz w:val="18"/>
              </w:rPr>
              <w:t>Touch First。危险操作需二次确认；任何按钮被禁用时必须显示原因。通道状态色应与设备指示灯规则统一，但最终颜色/闪烁映射由硬件与产品冻结。</w:t>
            </w:r>
          </w:p>
        </w:tc>
      </w:tr>
    </w:tbl>
    <w:p>
      <w:pPr>
        <w:spacing w:after="0"/>
      </w:pPr>
    </w:p>
    <w:p>
      <w:pPr>
        <w:pStyle w:val="Heading1"/>
        <w:spacing w:before="160" w:after="80"/>
      </w:pPr>
      <w:r>
        <w:rPr>
          <w:rFonts w:ascii="Noto Sans CJK SC" w:hAnsi="Noto Sans CJK SC" w:eastAsia="Noto Sans CJK SC"/>
        </w:rPr>
        <w:t>11. 管理员与工程师模式：页面、字段、操作与安全约束</w:t>
      </w:r>
    </w:p>
    <w:p>
      <w:pPr>
        <w:spacing w:after="60" w:line="276" w:lineRule="auto"/>
      </w:pPr>
      <w:r>
        <w:rPr>
          <w:rFonts w:ascii="Noto Sans CJK SC" w:hAnsi="Noto Sans CJK SC" w:eastAsia="Noto Sans CJK SC"/>
          <w:sz w:val="19"/>
        </w:rPr>
        <w:t>本章补齐 V1.7 未详细展开的工程师调试与配置界面。工程师模式可先使用 Mock 数据与模拟动作完成 UI/配置模型；真实串口、节点与坐标在联调阶段接入。</w:t>
      </w:r>
    </w:p>
    <w:tbl>
      <w:tblPr>
        <w:tblStyle w:val="TableGrid"/>
        <w:tblW w:type="auto" w:w="0"/>
        <w:jc w:val="center"/>
        <w:tblLook w:firstColumn="1" w:firstRow="1" w:lastColumn="0" w:lastRow="0" w:noHBand="0" w:noVBand="1" w:val="04A0"/>
      </w:tblPr>
      <w:tblGrid>
        <w:gridCol w:w="2621"/>
        <w:gridCol w:w="2621"/>
        <w:gridCol w:w="2621"/>
        <w:gridCol w:w="2621"/>
      </w:tblGrid>
      <w:tr>
        <w:trPr>
          <w:tblHeader w:val="true"/>
        </w:trPr>
        <w:tc>
          <w:tcPr>
            <w:tcW w:type="dxa" w:w="102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编号</w:t>
            </w:r>
          </w:p>
        </w:tc>
        <w:tc>
          <w:tcPr>
            <w:tcW w:type="dxa" w:w="187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模块/页面</w:t>
            </w:r>
          </w:p>
        </w:tc>
        <w:tc>
          <w:tcPr>
            <w:tcW w:type="dxa" w:w="408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详细功能</w:t>
            </w:r>
          </w:p>
        </w:tc>
        <w:tc>
          <w:tcPr>
            <w:tcW w:type="dxa" w:w="266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安全与版本要求</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ENG-01</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工程师入口与会话</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二次认证、工程权限说明、设备是否可调试、剩余会话时间、工程操作日志入口。</w:t>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存在运行中任务时默认只读；危险操作前再次确认。</w:t>
            </w:r>
          </w:p>
        </w:tc>
      </w:tr>
      <w:tr>
        <w:tc>
          <w:tcPr>
            <w:tcW w:type="dxa" w:w="102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ENG-02</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设备连接与通讯</w:t>
            </w:r>
          </w:p>
        </w:tc>
        <w:tc>
          <w:tcPr>
            <w:tcW w:type="dxa" w:w="408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主控、制冷、样本扫码头、试剂扫码、SOCON SDK/机械臂的连接状态、COM/波特率、连接测试、重连、协议版本、原始收发日志。</w:t>
            </w:r>
          </w:p>
        </w:tc>
        <w:tc>
          <w:tcPr>
            <w:tcW w:type="dxa" w:w="266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通信参数配置化、版本化；不得写死端口。</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ENG-03</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扫码器调试与列扫码测试</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样本扫码单次触发、试剂 ch1-ch5 列扫描、原始码、标准化码、定位码、SCAN_STATE、ROI/校验光/重启与超时显示。</w:t>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原始报文与解析结果并列显示；保存测试记录。</w:t>
            </w:r>
          </w:p>
        </w:tc>
      </w:tr>
      <w:tr>
        <w:tc>
          <w:tcPr>
            <w:tcW w:type="dxa" w:w="102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ENG-04</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逻辑位置与坐标配置</w:t>
            </w:r>
          </w:p>
        </w:tc>
        <w:tc>
          <w:tcPr>
            <w:tcW w:type="dxa" w:w="408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R1-R40、A-01-D-04 实际滴液点、样本扫码位、洗内壁位、洗外壁位、DAB M1-M8、DAB A/B 原液位；维护 X/Y/Z、安全高度、探液/分液高度及每位置独立校准。</w:t>
            </w:r>
          </w:p>
        </w:tc>
        <w:tc>
          <w:tcPr>
            <w:tcW w:type="dxa" w:w="266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配置形成版本；运行任务引用的版本不可直接改。</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ENG-05</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坐标校准与运动测试</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line="240" w:lineRule="auto"/>
            </w:pPr>
            <w:r>
              <w:t>回零、点动、到位、单针/双针选针、速度、软限位、目标位置预览与安全确认。基线固定为 Needle1=(0,0)、Needle2=(+25 mm,0)；工程师可维护每针现场校准偏移及针头-泵-通道映射。</w:t>
            </w:r>
            <w:r>
              <w:rPr>
                <w:rFonts w:ascii="Noto Sans CJK SC" w:hAnsi="Noto Sans CJK SC" w:eastAsia="Noto Sans CJK SC"/>
                <w:b w:val="0"/>
                <w:sz w:val="16"/>
              </w:rPr>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默认低速；真实设备必须满足门/抽屉/急停等互锁。</w:t>
            </w:r>
          </w:p>
        </w:tc>
      </w:tr>
      <w:tr>
        <w:tc>
          <w:tcPr>
            <w:tcW w:type="dxa" w:w="102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ENG-06</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液体类型 Liquid Class</w:t>
            </w:r>
          </w:p>
        </w:tc>
        <w:tc>
          <w:tcPr>
            <w:tcW w:type="dxa" w:w="408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维护探液速度、跟随深度、吸液/加液速度、前后延时、空气间隙、额外吸液、调节体积、断液、吹出等参数，并关联试剂/孔位。</w:t>
            </w:r>
          </w:p>
        </w:tc>
        <w:tc>
          <w:tcPr>
            <w:tcW w:type="dxa" w:w="266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修改生成新版本；禁止运行中变更活跃任务引用。</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ENG-07</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移液与洗针测试</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选择针、试剂位/测试容器、体积、吸液、加液、探液、洗针/冲洗、结果与异常。</w:t>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Mock 可全功能；真实模式要求安全确认和最小权限。</w:t>
            </w:r>
          </w:p>
        </w:tc>
      </w:tr>
      <w:tr>
        <w:tc>
          <w:tcPr>
            <w:tcW w:type="dxa" w:w="102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ENG-08</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温控与制冷</w:t>
            </w:r>
          </w:p>
        </w:tc>
        <w:tc>
          <w:tcPr>
            <w:tcW w:type="dxa" w:w="4082"/>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显示 4 块加热板×4 加热点的 16 Slot 温控映射：A/B/C/D → Board 0/1/2/3，Slot 1-4（下→上）→ Point 0-3（下→上）。支持单点/每板批量设温、启停、读取当前/目标温度/开关、温度曲线、报警与稳定判定测试；同时维护制冷目标/实测/开关。</w:t>
            </w:r>
          </w:p>
        </w:tc>
        <w:tc>
          <w:tcPr>
            <w:tcW w:type="dxa" w:w="2665"/>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主控 V1.0.4 已支持 4 点批量接口。真实模式仅允许在无活动任务或满足授权与互锁条件下调试；稳定、超温、超时阈值按批准配置执行。</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ENG-09</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清洗、混匀、泵与液位</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按通道测试 4 个独立清洗泵与 4 个独立混匀电机；测试洗内壁/洗外壁、排废/排毒、读取水/PBS/废液/排毒液位与 IO/PWM 状态。PWM 测试支持 -100~+100：正抽、反抽、停止。</w:t>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必须有互锁、运行时长限制、停止入口和事件记录；真实设备须记录 PWM ID、符号、设定值、持续时间、RPM/故障反馈。</w:t>
            </w:r>
          </w:p>
        </w:tc>
      </w:tr>
      <w:tr>
        <w:tc>
          <w:tcPr>
            <w:tcW w:type="dxa" w:w="102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ENG-10</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设备状态、告警与通讯日志</w:t>
            </w:r>
          </w:p>
        </w:tc>
        <w:tc>
          <w:tcPr>
            <w:tcW w:type="dxa" w:w="408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节点状态、错误码、传感器、命令队列、命令确认/完成、原始通讯、过滤与导出。</w:t>
            </w:r>
          </w:p>
        </w:tc>
        <w:tc>
          <w:tcPr>
            <w:tcW w:type="dxa" w:w="266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用于联调诊断，不允许直接篡改业务任务状态。</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ENG-11</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配置版本、导入导出与恢复</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坐标、液体类型、扫码器、通讯、试剂目录、脚本映射的版本列表、差异、导入、导出、备份、回退。</w:t>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导入需格式校验与审计；回退不得影响活跃任务。</w:t>
            </w:r>
          </w:p>
        </w:tc>
      </w:tr>
    </w:tbl>
    <w:p>
      <w:pPr>
        <w:spacing w:after="0"/>
      </w:pP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425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Liquid Class 最小参数集</w:t>
            </w:r>
          </w:p>
        </w:tc>
        <w:tc>
          <w:tcPr>
            <w:tcW w:type="dxa" w:w="5386"/>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说明</w:t>
            </w:r>
          </w:p>
        </w:tc>
      </w:tr>
      <w:tr>
        <w:tc>
          <w:tcPr>
            <w:tcW w:type="dxa" w:w="425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探液下降速度、液面跟随深度、吸液速度、吸液前延时、吸液后延时、回撤速度</w:t>
            </w:r>
          </w:p>
        </w:tc>
        <w:tc>
          <w:tcPr>
            <w:tcW w:type="dxa" w:w="5386"/>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影响液面探测、吸液稳定性和针尖离液动作。</w:t>
            </w:r>
          </w:p>
        </w:tc>
      </w:tr>
      <w:tr>
        <w:tc>
          <w:tcPr>
            <w:tcW w:type="dxa" w:w="425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Leading/Trailing/System Air Gap、Excess Volume、Conditioning Volume</w:t>
            </w:r>
          </w:p>
        </w:tc>
        <w:tc>
          <w:tcPr>
            <w:tcW w:type="dxa" w:w="5386"/>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用于空气隔离、液路预调节和分液准确性。</w:t>
            </w:r>
          </w:p>
        </w:tc>
      </w:tr>
      <w:tr>
        <w:tc>
          <w:tcPr>
            <w:tcW w:type="dxa" w:w="425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加液速度、断液速度、吹出体积、每次加液后的空气间隙</w:t>
            </w:r>
          </w:p>
        </w:tc>
        <w:tc>
          <w:tcPr>
            <w:tcW w:type="dxa" w:w="5386"/>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用于控制加液、挂滴、残液与液路保护。</w:t>
            </w:r>
          </w:p>
        </w:tc>
      </w:tr>
    </w:tbl>
    <w:p>
      <w:pPr>
        <w:spacing w:after="0"/>
      </w:pPr>
    </w:p>
    <w:p>
      <w:pPr>
        <w:pStyle w:val="Heading1"/>
        <w:spacing w:before="160" w:after="80"/>
      </w:pPr>
      <w:r>
        <w:rPr>
          <w:rFonts w:ascii="Noto Sans CJK SC" w:hAnsi="Noto Sans CJK SC" w:eastAsia="Noto Sans CJK SC"/>
        </w:rPr>
      </w:r>
      <w:r>
        <w:t>12. 网页前后端、数据、数据库、审计、查询、导出与 LIS 边界</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对象</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必须记录的关键内容</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任务/玻片</w:t>
            </w:r>
          </w:p>
        </w:tc>
        <w:tc>
          <w:tcPr>
            <w:tcW w:type="dxa" w:w="7370"/>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通道批次实验类型、流程版本、流程快照、脚本选择/锁定时间；玻片原始码、标准化码、LIS 查询结果、候选/最终一抗、兼容性结果、Slot、状态、大步骤、恢复信息。</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试剂与消耗</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完整条码、代码、位置、批号、初始/剩余量、每次取液来源瓶、消耗体积、自动切换记录。</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DAB</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配制批次、位置、试管、配方计算、完成时间、有效期、过期重配、位置清洗确认。</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设备与配置</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通讯版本、命令参数、反馈、错误码、温度、传感器、坐标/液体类型/流程配置版本。</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人工操作</w:t>
            </w:r>
          </w:p>
        </w:tc>
        <w:tc>
          <w:tcPr>
            <w:tcW w:type="dxa" w:w="7370"/>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登录、通道脚本选择、任务确认、暂停、整机停止、故障重做、工程操作、配置导入导出。</w:t>
            </w:r>
          </w:p>
        </w:tc>
      </w:tr>
    </w:tbl>
    <w:p>
      <w:pPr>
        <w:spacing w:after="0"/>
      </w:pPr>
    </w:p>
    <w:p>
      <w:pPr>
        <w:spacing w:after="60" w:line="276" w:lineRule="auto"/>
      </w:pPr>
      <w:r>
        <w:rPr>
          <w:rFonts w:ascii="Noto Sans CJK SC" w:hAnsi="Noto Sans CJK SC" w:eastAsia="Noto Sans CJK SC"/>
          <w:sz w:val="19"/>
        </w:rPr>
        <w:t>首版 LIS 仅实现医院自由二维码的本地 SQLite 只读查询。LIS 状态回写、网络接口、患者信息扩展和结果回传作为后续接口能力，不得阻塞本地 HE/IHC 核心运行。</w:t>
      </w:r>
      <w:r>
        <w:t xml:space="preserve"> 本章同时规定网页前端、后端服务、数据库和实时事件的职责边界。</w:t>
      </w:r>
    </w:p>
    <w:p>
      <w:pPr>
        <w:pStyle w:val="Heading2"/>
        <w:spacing w:after="80"/>
      </w:pPr>
      <w:r>
        <w:t>12.1 部署形态与分层边界</w:t>
      </w:r>
    </w:p>
    <w:p>
      <w:pPr>
        <w:spacing w:after="80"/>
      </w:pPr>
      <w:r/>
      <w:r>
        <w:rPr>
          <w:rFonts w:ascii="Noto Sans CJK SC" w:hAnsi="Noto Sans CJK SC" w:eastAsia="Noto Sans CJK SC"/>
          <w:sz w:val="17"/>
        </w:rPr>
        <w:t>首版采用本机网页应用：浏览器以全屏 Kiosk 模式访问设备电脑上的本地 ASP.NET Core 服务；ASP.NET Core 应用服务、后台执行器、设备适配器和 SQLite 数据库均部署于同一台仪器电脑。首版默认仅允许 localhost 本机访问，不开放局域网远程控制；后续若增加远程看板，应另行设计只读权限、网络安全和并发访问策略。</w:t>
      </w:r>
    </w:p>
    <w:tbl>
      <w:tblPr>
        <w:tblStyle w:val="TableGrid"/>
        <w:tblW w:type="auto" w:w="0"/>
        <w:jc w:val="center"/>
        <w:tblLayout w:type="autofit"/>
        <w:tblLook w:firstColumn="1" w:firstRow="1" w:lastColumn="0" w:lastRow="0" w:noHBand="0" w:noVBand="1" w:val="04A0"/>
      </w:tblPr>
      <w:tblGrid>
        <w:gridCol w:w="3494"/>
        <w:gridCol w:w="3494"/>
        <w:gridCol w:w="3494"/>
      </w:tblGrid>
      <w:tr>
        <w:trPr>
          <w:tblHeader w:val="true"/>
          <w:cantSplit/>
        </w:trPr>
        <w:tc>
          <w:tcPr>
            <w:tcW w:type="dxa" w:w="1656"/>
            <w:vAlign w:val="center"/>
            <w:tcMar>
              <w:top w:w="80" w:type="dxa"/>
              <w:start w:w="80" w:type="dxa"/>
              <w:bottom w:w="80" w:type="dxa"/>
              <w:end w:w="80" w:type="dxa"/>
            </w:tcMar>
            <w:shd w:fill="D9EAF7" w:val="clear"/>
          </w:tcPr>
          <w:p>
            <w:pPr>
              <w:spacing w:after="0" w:before="0"/>
              <w:jc w:val="left"/>
            </w:pPr>
            <w:r>
              <w:rPr>
                <w:b/>
                <w:sz w:val="17"/>
              </w:rPr>
              <w:t>层级</w:t>
            </w:r>
          </w:p>
        </w:tc>
        <w:tc>
          <w:tcPr>
            <w:tcW w:type="dxa" w:w="2448"/>
            <w:vAlign w:val="center"/>
            <w:tcMar>
              <w:top w:w="80" w:type="dxa"/>
              <w:start w:w="80" w:type="dxa"/>
              <w:bottom w:w="80" w:type="dxa"/>
              <w:end w:w="80" w:type="dxa"/>
            </w:tcMar>
            <w:shd w:fill="D9EAF7" w:val="clear"/>
          </w:tcPr>
          <w:p>
            <w:pPr>
              <w:spacing w:after="0" w:before="0"/>
              <w:jc w:val="left"/>
            </w:pPr>
            <w:r>
              <w:rPr>
                <w:b/>
                <w:sz w:val="17"/>
              </w:rPr>
              <w:t>主要组件</w:t>
            </w:r>
          </w:p>
        </w:tc>
        <w:tc>
          <w:tcPr>
            <w:tcW w:type="dxa" w:w="6192"/>
            <w:vAlign w:val="center"/>
            <w:tcMar>
              <w:top w:w="80" w:type="dxa"/>
              <w:start w:w="80" w:type="dxa"/>
              <w:bottom w:w="80" w:type="dxa"/>
              <w:end w:w="80" w:type="dxa"/>
            </w:tcMar>
            <w:shd w:fill="D9EAF7" w:val="clear"/>
          </w:tcPr>
          <w:p>
            <w:pPr>
              <w:spacing w:after="0" w:before="0"/>
              <w:jc w:val="left"/>
            </w:pPr>
            <w:r>
              <w:rPr>
                <w:b/>
                <w:sz w:val="17"/>
              </w:rPr>
              <w:t>职责与边界</w:t>
            </w:r>
          </w:p>
        </w:tc>
      </w:tr>
      <w:tr>
        <w:trPr>
          <w:cantSplit/>
        </w:trPr>
        <w:tc>
          <w:tcPr>
            <w:tcW w:type="dxa" w:w="1656"/>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网页前端</w:t>
            </w:r>
          </w:p>
        </w:tc>
        <w:tc>
          <w:tcPr>
            <w:tcW w:type="dxa" w:w="2448"/>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HTML/CSS/JavaScript、触摸屏浏览器</w:t>
            </w:r>
          </w:p>
        </w:tc>
        <w:tc>
          <w:tcPr>
            <w:tcW w:type="dxa" w:w="6192"/>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负责展示、表单输入、用户确认和接收实时事件；不得直接访问 SQLite、串口、SDK、设备协议或文件系统。</w:t>
            </w:r>
          </w:p>
        </w:tc>
      </w:tr>
      <w:tr>
        <w:trPr>
          <w:cantSplit/>
        </w:trPr>
        <w:tc>
          <w:tcPr>
            <w:tcW w:type="dxa" w:w="1656"/>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API 与应用服务</w:t>
            </w:r>
          </w:p>
        </w:tc>
        <w:tc>
          <w:tcPr>
            <w:tcW w:type="dxa" w:w="2448"/>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ASP.NET Core Controller/Endpoint、C# Request/Response DTO、Application Service</w:t>
            </w:r>
          </w:p>
        </w:tc>
        <w:tc>
          <w:tcPr>
            <w:tcW w:type="dxa" w:w="6192"/>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鉴权、输入校验、规则判断、EF Core 事务、审计、读模型组装、向执行器投递业务命令；是前端与数据库/设备之间的唯一业务入口。</w:t>
            </w:r>
          </w:p>
        </w:tc>
      </w:tr>
      <w:tr>
        <w:trPr>
          <w:cantSplit/>
        </w:trPr>
        <w:tc>
          <w:tcPr>
            <w:tcW w:type="dxa" w:w="1656"/>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运行时执行层</w:t>
            </w:r>
          </w:p>
        </w:tc>
        <w:tc>
          <w:tcPr>
            <w:tcW w:type="dxa" w:w="2448"/>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C# HostedService、MachineExecutor、Scheduler、状态机、应用事件总线</w:t>
            </w:r>
          </w:p>
        </w:tc>
        <w:tc>
          <w:tcPr>
            <w:tcW w:type="dxa" w:w="6192"/>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维护实时调度、暂停/停止/故障处理、超时、设备命令队列与 SignalR 事件发布；关键状态和步骤结果必须持久化。</w:t>
            </w:r>
          </w:p>
        </w:tc>
      </w:tr>
      <w:tr>
        <w:trPr>
          <w:cantSplit/>
        </w:trPr>
        <w:tc>
          <w:tcPr>
            <w:tcW w:type="dxa" w:w="1656"/>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数据与适配层</w:t>
            </w:r>
          </w:p>
        </w:tc>
        <w:tc>
          <w:tcPr>
            <w:tcW w:type="dxa" w:w="2448"/>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Repository、EF Core、SQLite、主控/SOCON/扫码/LIS Adapter</w:t>
            </w:r>
          </w:p>
        </w:tc>
        <w:tc>
          <w:tcPr>
            <w:tcW w:type="dxa" w:w="6192"/>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Repository 负责数据库读写；Adapter 负责将领域动作转换为串口帧、SDK 调用或 LIS 查询。业务层不得依赖具体 SQL、COM 口、CRC 或节点号。</w:t>
            </w:r>
          </w:p>
        </w:tc>
      </w:tr>
    </w:tbl>
    <w:p>
      <w:pPr>
        <w:pStyle w:val="Heading2"/>
        <w:spacing w:after="80"/>
      </w:pPr>
      <w:r>
        <w:t>12.2 前后端数据传输规则</w:t>
      </w:r>
    </w:p>
    <w:p>
      <w:pPr>
        <w:spacing w:after="80"/>
      </w:pPr>
      <w:r/>
      <w:r>
        <w:rPr>
          <w:rFonts w:ascii="Noto Sans CJK SC" w:hAnsi="Noto Sans CJK SC" w:eastAsia="Noto Sans CJK SC"/>
          <w:sz w:val="17"/>
        </w:rPr>
        <w:t>网页前端一律经后端 API 获取数据和提交操作。浏览器不保存正式业务状态，不直接执行 SQL，也不直接控制设备。页面首次进入时读取完整快照；后续由 SignalR 接收状态增量。</w:t>
      </w:r>
    </w:p>
    <w:tbl>
      <w:tblPr>
        <w:tblStyle w:val="TableGrid"/>
        <w:tblW w:type="auto" w:w="0"/>
        <w:jc w:val="center"/>
        <w:tblLayout w:type="autofit"/>
        <w:tblLook w:firstColumn="1" w:firstRow="1" w:lastColumn="0" w:lastRow="0" w:noHBand="0" w:noVBand="1" w:val="04A0"/>
      </w:tblPr>
      <w:tblGrid>
        <w:gridCol w:w="2621"/>
        <w:gridCol w:w="2621"/>
        <w:gridCol w:w="2621"/>
        <w:gridCol w:w="2621"/>
      </w:tblGrid>
      <w:tr>
        <w:trPr>
          <w:tblHeader w:val="true"/>
          <w:cantSplit/>
        </w:trPr>
        <w:tc>
          <w:tcPr>
            <w:tcW w:type="dxa" w:w="1800"/>
            <w:vAlign w:val="center"/>
            <w:tcMar>
              <w:top w:w="80" w:type="dxa"/>
              <w:start w:w="80" w:type="dxa"/>
              <w:bottom w:w="80" w:type="dxa"/>
              <w:end w:w="80" w:type="dxa"/>
            </w:tcMar>
            <w:shd w:fill="D9EAF7" w:val="clear"/>
          </w:tcPr>
          <w:p>
            <w:pPr>
              <w:spacing w:after="0" w:before="0"/>
              <w:jc w:val="left"/>
            </w:pPr>
            <w:r>
              <w:rPr>
                <w:b/>
                <w:sz w:val="17"/>
              </w:rPr>
              <w:t>场景</w:t>
            </w:r>
          </w:p>
        </w:tc>
        <w:tc>
          <w:tcPr>
            <w:tcW w:type="dxa" w:w="2160"/>
            <w:vAlign w:val="center"/>
            <w:tcMar>
              <w:top w:w="80" w:type="dxa"/>
              <w:start w:w="80" w:type="dxa"/>
              <w:bottom w:w="80" w:type="dxa"/>
              <w:end w:w="80" w:type="dxa"/>
            </w:tcMar>
            <w:shd w:fill="D9EAF7" w:val="clear"/>
          </w:tcPr>
          <w:p>
            <w:pPr>
              <w:spacing w:after="0" w:before="0"/>
              <w:jc w:val="left"/>
            </w:pPr>
            <w:r>
              <w:rPr>
                <w:b/>
                <w:sz w:val="17"/>
              </w:rPr>
              <w:t>传输方式</w:t>
            </w:r>
          </w:p>
        </w:tc>
        <w:tc>
          <w:tcPr>
            <w:tcW w:type="dxa" w:w="3456"/>
            <w:vAlign w:val="center"/>
            <w:tcMar>
              <w:top w:w="80" w:type="dxa"/>
              <w:start w:w="80" w:type="dxa"/>
              <w:bottom w:w="80" w:type="dxa"/>
              <w:end w:w="80" w:type="dxa"/>
            </w:tcMar>
            <w:shd w:fill="D9EAF7" w:val="clear"/>
          </w:tcPr>
          <w:p>
            <w:pPr>
              <w:spacing w:after="0" w:before="0"/>
              <w:jc w:val="left"/>
            </w:pPr>
            <w:r>
              <w:rPr>
                <w:b/>
                <w:sz w:val="17"/>
              </w:rPr>
              <w:t>前端请求/接收内容</w:t>
            </w:r>
          </w:p>
        </w:tc>
        <w:tc>
          <w:tcPr>
            <w:tcW w:type="dxa" w:w="2880"/>
            <w:vAlign w:val="center"/>
            <w:tcMar>
              <w:top w:w="80" w:type="dxa"/>
              <w:start w:w="80" w:type="dxa"/>
              <w:bottom w:w="80" w:type="dxa"/>
              <w:end w:w="80" w:type="dxa"/>
            </w:tcMar>
            <w:shd w:fill="D9EAF7" w:val="clear"/>
          </w:tcPr>
          <w:p>
            <w:pPr>
              <w:spacing w:after="0" w:before="0"/>
              <w:jc w:val="left"/>
            </w:pPr>
            <w:r>
              <w:rPr>
                <w:b/>
                <w:sz w:val="17"/>
              </w:rPr>
              <w:t>后端职责</w:t>
            </w:r>
          </w:p>
        </w:tc>
      </w:tr>
      <w:tr>
        <w:trPr>
          <w:cantSplit/>
        </w:trPr>
        <w:tc>
          <w:tcPr>
            <w:tcW w:type="dxa" w:w="1800"/>
            <w:vAlign w:val="center"/>
            <w:tcMar>
              <w:top w:w="80" w:type="dxa"/>
              <w:start w:w="80" w:type="dxa"/>
              <w:bottom w:w="80" w:type="dxa"/>
              <w:end w:w="80" w:type="dxa"/>
            </w:tcMar>
          </w:tcPr>
          <w:p>
            <w:pPr>
              <w:spacing w:after="0" w:before="0"/>
              <w:jc w:val="left"/>
            </w:pPr>
            <w:r>
              <w:rPr>
                <w:b w:val="0"/>
                <w:sz w:val="17"/>
              </w:rPr>
              <w:t>页面初始读取、列表/历史查询</w:t>
            </w:r>
          </w:p>
        </w:tc>
        <w:tc>
          <w:tcPr>
            <w:tcW w:type="dxa" w:w="2160"/>
            <w:vAlign w:val="center"/>
            <w:tcMar>
              <w:top w:w="80" w:type="dxa"/>
              <w:start w:w="80" w:type="dxa"/>
              <w:bottom w:w="80" w:type="dxa"/>
              <w:end w:w="80" w:type="dxa"/>
            </w:tcMar>
          </w:tcPr>
          <w:p>
            <w:pPr>
              <w:spacing w:after="0" w:before="0"/>
              <w:jc w:val="left"/>
            </w:pPr>
            <w:r>
              <w:rPr>
                <w:b w:val="0"/>
                <w:sz w:val="17"/>
              </w:rPr>
              <w:t>HTTP GET + JSON</w:t>
            </w:r>
          </w:p>
        </w:tc>
        <w:tc>
          <w:tcPr>
            <w:tcW w:type="dxa" w:w="3456"/>
            <w:vAlign w:val="center"/>
            <w:tcMar>
              <w:top w:w="80" w:type="dxa"/>
              <w:start w:w="80" w:type="dxa"/>
              <w:bottom w:w="80" w:type="dxa"/>
              <w:end w:w="80" w:type="dxa"/>
            </w:tcMar>
          </w:tcPr>
          <w:p>
            <w:pPr>
              <w:spacing w:after="0" w:before="0"/>
              <w:jc w:val="left"/>
            </w:pPr>
            <w:r>
              <w:rPr>
                <w:b w:val="0"/>
                <w:sz w:val="17"/>
              </w:rPr>
              <w:t>仪器总览、Slot/试剂架、流程、告警、历史、工程师配置等页面读模型。</w:t>
            </w:r>
          </w:p>
        </w:tc>
        <w:tc>
          <w:tcPr>
            <w:tcW w:type="dxa" w:w="2880"/>
            <w:vAlign w:val="center"/>
            <w:tcMar>
              <w:top w:w="80" w:type="dxa"/>
              <w:start w:w="80" w:type="dxa"/>
              <w:bottom w:w="80" w:type="dxa"/>
              <w:end w:w="80" w:type="dxa"/>
            </w:tcMar>
          </w:tcPr>
          <w:p>
            <w:pPr>
              <w:spacing w:after="0" w:before="0"/>
              <w:jc w:val="left"/>
            </w:pPr>
            <w:r>
              <w:rPr>
                <w:b w:val="0"/>
                <w:sz w:val="17"/>
              </w:rPr>
              <w:t>从 SQLite 与必要的实时状态缓存组装页面 DTO，不暴露数据库表结构。</w:t>
            </w:r>
          </w:p>
        </w:tc>
      </w:tr>
      <w:tr>
        <w:trPr>
          <w:cantSplit/>
        </w:trPr>
        <w:tc>
          <w:tcPr>
            <w:tcW w:type="dxa" w:w="1800"/>
            <w:vAlign w:val="center"/>
            <w:tcMar>
              <w:top w:w="80" w:type="dxa"/>
              <w:start w:w="80" w:type="dxa"/>
              <w:bottom w:w="80" w:type="dxa"/>
              <w:end w:w="80" w:type="dxa"/>
            </w:tcMar>
          </w:tcPr>
          <w:p>
            <w:pPr>
              <w:spacing w:after="0" w:before="0"/>
              <w:jc w:val="left"/>
            </w:pPr>
            <w:r>
              <w:rPr>
                <w:b w:val="0"/>
                <w:sz w:val="17"/>
              </w:rPr>
              <w:t>普通业务指令</w:t>
            </w:r>
          </w:p>
        </w:tc>
        <w:tc>
          <w:tcPr>
            <w:tcW w:type="dxa" w:w="2160"/>
            <w:vAlign w:val="center"/>
            <w:tcMar>
              <w:top w:w="80" w:type="dxa"/>
              <w:start w:w="80" w:type="dxa"/>
              <w:bottom w:w="80" w:type="dxa"/>
              <w:end w:w="80" w:type="dxa"/>
            </w:tcMar>
          </w:tcPr>
          <w:p>
            <w:pPr>
              <w:spacing w:after="0" w:before="0"/>
              <w:jc w:val="left"/>
            </w:pPr>
            <w:r>
              <w:rPr>
                <w:b w:val="0"/>
                <w:sz w:val="17"/>
              </w:rPr>
              <w:t>HTTP POST / PUT / DELETE + JSON</w:t>
            </w:r>
          </w:p>
        </w:tc>
        <w:tc>
          <w:tcPr>
            <w:tcW w:type="dxa" w:w="3456"/>
            <w:vAlign w:val="center"/>
            <w:tcMar>
              <w:top w:w="80" w:type="dxa"/>
              <w:start w:w="80" w:type="dxa"/>
              <w:bottom w:w="80" w:type="dxa"/>
              <w:end w:w="80" w:type="dxa"/>
            </w:tcMar>
          </w:tcPr>
          <w:p>
            <w:pPr>
              <w:spacing w:after="0" w:before="0"/>
              <w:jc w:val="left"/>
            </w:pPr>
            <w:r>
              <w:rPr>
                <w:b w:val="0"/>
                <w:sz w:val="17"/>
              </w:rPr>
              <w:t>创建/确认 HE 或 IHC 任务、确认扫码、启动/暂停/恢复/停止、确认告警、保存配置等。</w:t>
            </w:r>
          </w:p>
        </w:tc>
        <w:tc>
          <w:tcPr>
            <w:tcW w:type="dxa" w:w="2880"/>
            <w:vAlign w:val="center"/>
            <w:tcMar>
              <w:top w:w="80" w:type="dxa"/>
              <w:start w:w="80" w:type="dxa"/>
              <w:bottom w:w="80" w:type="dxa"/>
              <w:end w:w="80" w:type="dxa"/>
            </w:tcMar>
          </w:tcPr>
          <w:p>
            <w:pPr>
              <w:spacing w:after="0" w:before="0"/>
              <w:jc w:val="left"/>
            </w:pPr>
            <w:r>
              <w:rPr>
                <w:b w:val="0"/>
                <w:sz w:val="17"/>
              </w:rPr>
              <w:t>鉴权、校验、幂等、事务写库、审计、投递执行器，并返回已接受/拒绝原因。</w:t>
            </w:r>
          </w:p>
        </w:tc>
      </w:tr>
      <w:tr>
        <w:trPr>
          <w:cantSplit/>
        </w:trPr>
        <w:tc>
          <w:tcPr>
            <w:tcW w:type="dxa" w:w="1800"/>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实时运行状态</w:t>
            </w:r>
          </w:p>
        </w:tc>
        <w:tc>
          <w:tcPr>
            <w:tcW w:type="dxa" w:w="2160"/>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SignalR 后端主动推送</w:t>
            </w:r>
          </w:p>
        </w:tc>
        <w:tc>
          <w:tcPr>
            <w:tcW w:type="dxa" w:w="3456"/>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温度、当前步骤、任务进度、告警、扫码完成、试剂耗尽、DAB 到期、设备连接变化。</w:t>
            </w:r>
          </w:p>
        </w:tc>
        <w:tc>
          <w:tcPr>
            <w:tcW w:type="dxa" w:w="2880"/>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发布增量事件；断线重连后页面必须重新 GET 快照，避免仅靠事件补齐状态。</w:t>
            </w:r>
          </w:p>
        </w:tc>
      </w:tr>
      <w:tr>
        <w:trPr>
          <w:cantSplit/>
        </w:trPr>
        <w:tc>
          <w:tcPr>
            <w:tcW w:type="dxa" w:w="1800"/>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工程师连续调试</w:t>
            </w:r>
          </w:p>
        </w:tc>
        <w:tc>
          <w:tcPr>
            <w:tcW w:type="dxa" w:w="2160"/>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可选双向 SignalR；普通保存仍用 HTTP</w:t>
            </w:r>
          </w:p>
        </w:tc>
        <w:tc>
          <w:tcPr>
            <w:tcW w:type="dxa" w:w="3456"/>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连续点动、长按移动、实时 PWM 调试、扫码过程等即时交互。</w:t>
            </w:r>
          </w:p>
        </w:tc>
        <w:tc>
          <w:tcPr>
            <w:tcW w:type="dxa" w:w="2880"/>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每个工程命令必须带 CommandId、权限、互锁、超时和结果事件；不得绕开审计。</w:t>
            </w:r>
          </w:p>
        </w:tc>
      </w:tr>
    </w:tbl>
    <w:p>
      <w:pPr>
        <w:spacing w:after="80"/>
      </w:pPr>
      <w:r/>
      <w:r>
        <w:rPr>
          <w:rFonts w:ascii="Noto Sans CJK SC" w:hAnsi="Noto Sans CJK SC" w:eastAsia="Noto Sans CJK SC"/>
          <w:sz w:val="17"/>
        </w:rPr>
        <w:t>普通业务写操作应优先使用 HTTP POST/PUT，而不是仅使用 SignalR。原因是这类操作需要明确请求-响应、权限校验、事务、幂等重试与审计；SignalR 主要承担实时事件推送和工程师模式中的连续互动。</w:t>
      </w:r>
    </w:p>
    <w:p>
      <w:pPr>
        <w:pStyle w:val="Heading2"/>
        <w:spacing w:after="80"/>
      </w:pPr>
      <w:r>
        <w:t>12.3 API 命令、查询与实时事件</w:t>
      </w:r>
    </w:p>
    <w:p>
      <w:pPr>
        <w:spacing w:after="80"/>
      </w:pPr>
      <w:r>
        <w:t>所有改变业务状态的请求均必须携带 CommandId（UUID），用于避免触摸屏重复点击、浏览器重试或连接重建导致的重复建任务、重复扣试剂或重复启动。后端应以“操作者 + CommandId + 命令类型”实现幂等判定，并返回同一处理结果。</w:t>
      </w:r>
    </w:p>
    <w:tbl>
      <w:tblPr>
        <w:tblStyle w:val="TableGrid"/>
        <w:tblW w:type="auto" w:w="0"/>
        <w:jc w:val="center"/>
        <w:tblLayout w:type="autofit"/>
        <w:tblLook w:firstColumn="1" w:firstRow="1" w:lastColumn="0" w:lastRow="0" w:noHBand="0" w:noVBand="1" w:val="04A0"/>
      </w:tblPr>
      <w:tblGrid>
        <w:gridCol w:w="3494"/>
        <w:gridCol w:w="3494"/>
        <w:gridCol w:w="3494"/>
      </w:tblGrid>
      <w:tr>
        <w:trPr>
          <w:tblHeader w:val="true"/>
          <w:cantSplit/>
        </w:trPr>
        <w:tc>
          <w:tcPr>
            <w:tcW w:type="dxa" w:w="1872"/>
            <w:vAlign w:val="center"/>
            <w:tcMar>
              <w:top w:w="80" w:type="dxa"/>
              <w:start w:w="80" w:type="dxa"/>
              <w:bottom w:w="80" w:type="dxa"/>
              <w:end w:w="80" w:type="dxa"/>
            </w:tcMar>
            <w:shd w:fill="D9EAF7" w:val="clear"/>
          </w:tcPr>
          <w:p>
            <w:pPr>
              <w:spacing w:after="0" w:before="0"/>
              <w:jc w:val="left"/>
            </w:pPr>
            <w:r>
              <w:rPr>
                <w:b/>
                <w:sz w:val="17"/>
              </w:rPr>
              <w:t>类别</w:t>
            </w:r>
          </w:p>
        </w:tc>
        <w:tc>
          <w:tcPr>
            <w:tcW w:type="dxa" w:w="2880"/>
            <w:vAlign w:val="center"/>
            <w:tcMar>
              <w:top w:w="80" w:type="dxa"/>
              <w:start w:w="80" w:type="dxa"/>
              <w:bottom w:w="80" w:type="dxa"/>
              <w:end w:w="80" w:type="dxa"/>
            </w:tcMar>
            <w:shd w:fill="D9EAF7" w:val="clear"/>
          </w:tcPr>
          <w:p>
            <w:pPr>
              <w:spacing w:after="0" w:before="0"/>
              <w:jc w:val="left"/>
            </w:pPr>
            <w:r>
              <w:rPr>
                <w:b/>
                <w:sz w:val="17"/>
              </w:rPr>
              <w:t>典型接口/事件</w:t>
            </w:r>
          </w:p>
        </w:tc>
        <w:tc>
          <w:tcPr>
            <w:tcW w:type="dxa" w:w="5544"/>
            <w:vAlign w:val="center"/>
            <w:tcMar>
              <w:top w:w="80" w:type="dxa"/>
              <w:start w:w="80" w:type="dxa"/>
              <w:bottom w:w="80" w:type="dxa"/>
              <w:end w:w="80" w:type="dxa"/>
            </w:tcMar>
            <w:shd w:fill="D9EAF7" w:val="clear"/>
          </w:tcPr>
          <w:p>
            <w:pPr>
              <w:spacing w:after="0" w:before="0"/>
              <w:jc w:val="left"/>
            </w:pPr>
            <w:r>
              <w:rPr>
                <w:b/>
                <w:sz w:val="17"/>
              </w:rPr>
              <w:t>最小数据要求</w:t>
            </w:r>
          </w:p>
        </w:tc>
      </w:tr>
      <w:tr>
        <w:trPr>
          <w:cantSplit/>
        </w:trPr>
        <w:tc>
          <w:tcPr>
            <w:tcW w:type="dxa" w:w="1872"/>
            <w:vAlign w:val="center"/>
            <w:tcMar>
              <w:top w:w="80" w:type="dxa"/>
              <w:start w:w="80" w:type="dxa"/>
              <w:bottom w:w="80" w:type="dxa"/>
              <w:end w:w="80" w:type="dxa"/>
            </w:tcMar>
          </w:tcPr>
          <w:p>
            <w:pPr>
              <w:spacing w:after="0" w:before="0"/>
              <w:jc w:val="left"/>
            </w:pPr>
            <w:r>
              <w:rPr>
                <w:b w:val="0"/>
                <w:sz w:val="17"/>
              </w:rPr>
              <w:t>读模型 API</w:t>
            </w:r>
          </w:p>
        </w:tc>
        <w:tc>
          <w:tcPr>
            <w:tcW w:type="dxa" w:w="2880"/>
            <w:vAlign w:val="center"/>
            <w:tcMar>
              <w:top w:w="80" w:type="dxa"/>
              <w:start w:w="80" w:type="dxa"/>
              <w:bottom w:w="80" w:type="dxa"/>
              <w:end w:w="80" w:type="dxa"/>
            </w:tcMar>
          </w:tcPr>
          <w:p>
            <w:pPr>
              <w:spacing w:after="0" w:before="0"/>
              <w:jc w:val="left"/>
            </w:pPr>
            <w:r>
              <w:rPr>
                <w:b w:val="0"/>
                <w:sz w:val="17"/>
              </w:rPr>
              <w:t>GET /api/dashboard；GET /api/reagents/rack；GET /api/runs/current；GET /api/history</w:t>
            </w:r>
          </w:p>
        </w:tc>
        <w:tc>
          <w:tcPr>
            <w:tcW w:type="dxa" w:w="5544"/>
            <w:vAlign w:val="center"/>
            <w:tcMar>
              <w:top w:w="80" w:type="dxa"/>
              <w:start w:w="80" w:type="dxa"/>
              <w:bottom w:w="80" w:type="dxa"/>
              <w:end w:w="80" w:type="dxa"/>
            </w:tcMar>
          </w:tcPr>
          <w:p>
            <w:pPr>
              <w:spacing w:after="0" w:before="0"/>
              <w:jc w:val="left"/>
            </w:pPr>
            <w:r>
              <w:rPr>
                <w:b w:val="0"/>
                <w:sz w:val="17"/>
              </w:rPr>
              <w:t>返回页面专用 DTO，例如 A-D/16 Slot、R1-R40、告警数、温度快照、当前运行状态；不得要求页面拼接多张表。</w:t>
            </w:r>
          </w:p>
        </w:tc>
      </w:tr>
      <w:tr>
        <w:trPr>
          <w:cantSplit/>
        </w:trPr>
        <w:tc>
          <w:tcPr>
            <w:tcW w:type="dxa" w:w="1872"/>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任务与流程命令</w:t>
            </w:r>
          </w:p>
        </w:tc>
        <w:tc>
          <w:tcPr>
            <w:tcW w:type="dxa" w:w="2880"/>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POST /api/channel-batches/{channelCode}/workflow-selection；POST /api/channel-batches/{id}/slide-tasks；POST /api/tasks/{id}/confirm</w:t>
            </w:r>
          </w:p>
        </w:tc>
        <w:tc>
          <w:tcPr>
            <w:tcW w:type="dxa" w:w="5544"/>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CommandId、操作者、通道、实验类型、已选流程版本；IHC 任务提交原始/标准化样本码、最终一抗代码及兼容性结果。HE 无二维码但必须引用通道已确认 HE 流程。</w:t>
            </w:r>
          </w:p>
        </w:tc>
      </w:tr>
      <w:tr>
        <w:trPr>
          <w:cantSplit/>
        </w:trPr>
        <w:tc>
          <w:tcPr>
            <w:tcW w:type="dxa" w:w="1872"/>
            <w:vAlign w:val="center"/>
            <w:tcMar>
              <w:top w:w="80" w:type="dxa"/>
              <w:start w:w="80" w:type="dxa"/>
              <w:bottom w:w="80" w:type="dxa"/>
              <w:end w:w="80" w:type="dxa"/>
            </w:tcMar>
          </w:tcPr>
          <w:p>
            <w:pPr>
              <w:spacing w:after="0" w:before="0"/>
              <w:jc w:val="left"/>
            </w:pPr>
            <w:r>
              <w:rPr>
                <w:b w:val="0"/>
                <w:sz w:val="17"/>
              </w:rPr>
              <w:t>试剂与运行命令</w:t>
            </w:r>
          </w:p>
        </w:tc>
        <w:tc>
          <w:tcPr>
            <w:tcW w:type="dxa" w:w="2880"/>
            <w:vAlign w:val="center"/>
            <w:tcMar>
              <w:top w:w="80" w:type="dxa"/>
              <w:start w:w="80" w:type="dxa"/>
              <w:bottom w:w="80" w:type="dxa"/>
              <w:end w:w="80" w:type="dxa"/>
            </w:tcMar>
          </w:tcPr>
          <w:p>
            <w:pPr>
              <w:spacing w:after="0" w:before="0"/>
              <w:jc w:val="left"/>
            </w:pPr>
            <w:r>
              <w:rPr>
                <w:b w:val="0"/>
                <w:sz w:val="17"/>
              </w:rPr>
              <w:t>POST /api/reagent-scans/confirm；POST /api/runs/start/pause/resume/stop</w:t>
            </w:r>
          </w:p>
        </w:tc>
        <w:tc>
          <w:tcPr>
            <w:tcW w:type="dxa" w:w="5544"/>
            <w:vAlign w:val="center"/>
            <w:tcMar>
              <w:top w:w="80" w:type="dxa"/>
              <w:start w:w="80" w:type="dxa"/>
              <w:bottom w:w="80" w:type="dxa"/>
              <w:end w:w="80" w:type="dxa"/>
            </w:tcMar>
          </w:tcPr>
          <w:p>
            <w:pPr>
              <w:spacing w:after="0" w:before="0"/>
              <w:jc w:val="left"/>
            </w:pPr>
            <w:r>
              <w:rPr>
                <w:b w:val="0"/>
                <w:sz w:val="17"/>
              </w:rPr>
              <w:t>CommandId、操作者、扫码会话、预期机器状态版本、涉及批次/任务、必要的处理原因。启动前由后端完成试剂/DAB/设备校验。</w:t>
            </w:r>
          </w:p>
        </w:tc>
      </w:tr>
      <w:tr>
        <w:trPr>
          <w:cantSplit/>
        </w:trPr>
        <w:tc>
          <w:tcPr>
            <w:tcW w:type="dxa" w:w="1872"/>
            <w:vAlign w:val="center"/>
            <w:tcMar>
              <w:top w:w="80" w:type="dxa"/>
              <w:start w:w="80" w:type="dxa"/>
              <w:bottom w:w="80" w:type="dxa"/>
              <w:end w:w="80" w:type="dxa"/>
            </w:tcMar>
          </w:tcPr>
          <w:p>
            <w:pPr>
              <w:spacing w:after="0" w:before="0"/>
              <w:jc w:val="left"/>
            </w:pPr>
            <w:r>
              <w:rPr>
                <w:b w:val="0"/>
                <w:sz w:val="17"/>
              </w:rPr>
              <w:t>工程师命令</w:t>
            </w:r>
          </w:p>
        </w:tc>
        <w:tc>
          <w:tcPr>
            <w:tcW w:type="dxa" w:w="2880"/>
            <w:vAlign w:val="center"/>
            <w:tcMar>
              <w:top w:w="80" w:type="dxa"/>
              <w:start w:w="80" w:type="dxa"/>
              <w:bottom w:w="80" w:type="dxa"/>
              <w:end w:w="80" w:type="dxa"/>
            </w:tcMar>
          </w:tcPr>
          <w:p>
            <w:pPr>
              <w:spacing w:after="0" w:before="0"/>
              <w:jc w:val="left"/>
            </w:pPr>
            <w:r>
              <w:rPr>
                <w:b w:val="0"/>
                <w:sz w:val="17"/>
              </w:rPr>
              <w:t>POST /api/engineering/...；可选 WS engineering.command</w:t>
            </w:r>
          </w:p>
        </w:tc>
        <w:tc>
          <w:tcPr>
            <w:tcW w:type="dxa" w:w="5544"/>
            <w:vAlign w:val="center"/>
            <w:tcMar>
              <w:top w:w="80" w:type="dxa"/>
              <w:start w:w="80" w:type="dxa"/>
              <w:bottom w:w="80" w:type="dxa"/>
              <w:end w:w="80" w:type="dxa"/>
            </w:tcMar>
          </w:tcPr>
          <w:p>
            <w:pPr>
              <w:spacing w:after="0" w:before="0"/>
              <w:jc w:val="left"/>
            </w:pPr>
            <w:r>
              <w:rPr>
                <w:b w:val="0"/>
                <w:sz w:val="17"/>
              </w:rPr>
              <w:t>工程会话、CommandId、目标设备/TargetPoint、参数、二次确认、测试时限与原因。</w:t>
            </w:r>
          </w:p>
        </w:tc>
      </w:tr>
      <w:tr>
        <w:trPr>
          <w:cantSplit/>
        </w:trPr>
        <w:tc>
          <w:tcPr>
            <w:tcW w:type="dxa" w:w="1872"/>
            <w:vAlign w:val="center"/>
            <w:tcMar>
              <w:top w:w="80" w:type="dxa"/>
              <w:start w:w="80" w:type="dxa"/>
              <w:bottom w:w="80" w:type="dxa"/>
              <w:end w:w="80" w:type="dxa"/>
            </w:tcMar>
          </w:tcPr>
          <w:p>
            <w:pPr>
              <w:spacing w:after="0" w:before="0"/>
              <w:jc w:val="left"/>
            </w:pPr>
            <w:r>
              <w:rPr>
                <w:b w:val="0"/>
                <w:sz w:val="17"/>
              </w:rPr>
              <w:t>实时事件</w:t>
            </w:r>
          </w:p>
        </w:tc>
        <w:tc>
          <w:tcPr>
            <w:tcW w:type="dxa" w:w="2880"/>
            <w:vAlign w:val="center"/>
            <w:tcMar>
              <w:top w:w="80" w:type="dxa"/>
              <w:start w:w="80" w:type="dxa"/>
              <w:bottom w:w="80" w:type="dxa"/>
              <w:end w:w="80" w:type="dxa"/>
            </w:tcMar>
          </w:tcPr>
          <w:p>
            <w:pPr>
              <w:spacing w:after="0" w:before="0"/>
              <w:jc w:val="left"/>
            </w:pPr>
            <w:r>
              <w:rPr>
                <w:b w:val="0"/>
                <w:sz w:val="17"/>
              </w:rPr>
              <w:t>temperature.changed；workflow_step.started/completed；alarm.raised；device.connection_changed</w:t>
            </w:r>
          </w:p>
        </w:tc>
        <w:tc>
          <w:tcPr>
            <w:tcW w:type="dxa" w:w="5544"/>
            <w:vAlign w:val="center"/>
            <w:tcMar>
              <w:top w:w="80" w:type="dxa"/>
              <w:start w:w="80" w:type="dxa"/>
              <w:bottom w:w="80" w:type="dxa"/>
              <w:end w:w="80" w:type="dxa"/>
            </w:tcMar>
          </w:tcPr>
          <w:p>
            <w:pPr>
              <w:spacing w:after="0" w:before="0"/>
              <w:jc w:val="left"/>
            </w:pPr>
            <w:r>
              <w:rPr>
                <w:b w:val="0"/>
                <w:sz w:val="17"/>
              </w:rPr>
              <w:t>事件 ID、时间、事件类型、关联运行/任务/Slot、增量数据。页面收到事件后仅更新对应区域。</w:t>
            </w:r>
          </w:p>
        </w:tc>
      </w:tr>
    </w:tbl>
    <w:p>
      <w:pPr>
        <w:pStyle w:val="Heading2"/>
        <w:spacing w:after="80"/>
      </w:pPr>
      <w:r>
        <w:t>12.4 SQLite 数据库与数值标准</w:t>
      </w:r>
    </w:p>
    <w:p>
      <w:pPr>
        <w:spacing w:after="80"/>
      </w:pPr>
      <w:r/>
      <w:r>
        <w:rPr>
          <w:rFonts w:ascii="Noto Sans CJK SC" w:hAnsi="Noto Sans CJK SC" w:eastAsia="Noto Sans CJK SC"/>
          <w:sz w:val="17"/>
        </w:rPr>
        <w:t>首版数据库采用 SQLite，配合 Entity Framework Core、EF Core Migrations、WAL 模式和外键约束。正式运行数据库应位于仪器电脑受控数据目录；浏览器端不得持有数据库路径、账号或表结构。ASP.NET Core 运行时必须采用单实例、单一设备执行所有者控制真实串口和机械臂，避免多个进程或多个执行器同时占用设备。</w:t>
      </w:r>
    </w:p>
    <w:tbl>
      <w:tblPr>
        <w:tblStyle w:val="TableGrid"/>
        <w:tblW w:type="auto" w:w="0"/>
        <w:jc w:val="center"/>
        <w:tblLayout w:type="autofit"/>
        <w:tblLook w:firstColumn="1" w:firstRow="1" w:lastColumn="0" w:lastRow="0" w:noHBand="0" w:noVBand="1" w:val="04A0"/>
      </w:tblPr>
      <w:tblGrid>
        <w:gridCol w:w="5241"/>
        <w:gridCol w:w="5241"/>
      </w:tblGrid>
      <w:tr>
        <w:trPr>
          <w:tblHeader w:val="true"/>
        </w:trPr>
        <w:tc>
          <w:tcPr>
            <w:tcW w:type="dxa" w:w="2088"/>
            <w:vAlign w:val="center"/>
            <w:tcMar>
              <w:top w:w="80" w:type="dxa"/>
              <w:start w:w="80" w:type="dxa"/>
              <w:bottom w:w="80" w:type="dxa"/>
              <w:end w:w="80" w:type="dxa"/>
            </w:tcMar>
            <w:shd w:fill="D9EAF7" w:val="clear"/>
          </w:tcPr>
          <w:p>
            <w:pPr>
              <w:spacing w:after="0" w:before="0"/>
              <w:jc w:val="left"/>
            </w:pPr>
            <w:r>
              <w:rPr>
                <w:b/>
                <w:sz w:val="17"/>
              </w:rPr>
              <w:t>项目</w:t>
            </w:r>
          </w:p>
        </w:tc>
        <w:tc>
          <w:tcPr>
            <w:tcW w:type="dxa" w:w="8208"/>
            <w:vAlign w:val="center"/>
            <w:tcMar>
              <w:top w:w="80" w:type="dxa"/>
              <w:start w:w="80" w:type="dxa"/>
              <w:bottom w:w="80" w:type="dxa"/>
              <w:end w:w="80" w:type="dxa"/>
            </w:tcMar>
            <w:shd w:fill="D9EAF7" w:val="clear"/>
          </w:tcPr>
          <w:p>
            <w:pPr>
              <w:spacing w:after="0" w:before="0"/>
              <w:jc w:val="left"/>
            </w:pPr>
            <w:r>
              <w:rPr>
                <w:b/>
                <w:sz w:val="17"/>
              </w:rPr>
              <w:t>要求</w:t>
            </w:r>
          </w:p>
        </w:tc>
      </w:tr>
      <w:tr>
        <w:tc>
          <w:tcPr>
            <w:tcW w:type="dxa" w:w="2088"/>
            <w:vAlign w:val="center"/>
            <w:tcMar>
              <w:top w:w="80" w:type="dxa"/>
              <w:start w:w="80" w:type="dxa"/>
              <w:bottom w:w="80" w:type="dxa"/>
              <w:end w:w="80" w:type="dxa"/>
            </w:tcMar>
          </w:tcPr>
          <w:p>
            <w:pPr>
              <w:spacing w:after="0" w:before="0"/>
              <w:jc w:val="left"/>
            </w:pPr>
            <w:r>
              <w:rPr>
                <w:b w:val="0"/>
                <w:sz w:val="17"/>
              </w:rPr>
              <w:t>事务与一致性</w:t>
            </w:r>
          </w:p>
        </w:tc>
        <w:tc>
          <w:tcPr>
            <w:tcW w:type="dxa" w:w="8208"/>
            <w:vAlign w:val="center"/>
            <w:tcMar>
              <w:top w:w="80" w:type="dxa"/>
              <w:start w:w="80" w:type="dxa"/>
              <w:bottom w:w="80" w:type="dxa"/>
              <w:end w:w="80" w:type="dxa"/>
            </w:tcMar>
          </w:tcPr>
          <w:p>
            <w:pPr>
              <w:spacing w:after="0" w:before="0"/>
              <w:jc w:val="left"/>
            </w:pPr>
            <w:r>
              <w:rPr>
                <w:b w:val="0"/>
                <w:sz w:val="17"/>
              </w:rPr>
              <w:t>创建任务、确认扫码、启动校验、试剂预占/扣减、DAB 使用、故障重做和告警确认等复合操作必须在后端事务中完成；失败时回滚业务数据并记录失败审计。</w:t>
            </w:r>
          </w:p>
        </w:tc>
      </w:tr>
      <w:tr>
        <w:tc>
          <w:tcPr>
            <w:tcW w:type="dxa" w:w="2088"/>
            <w:vAlign w:val="center"/>
            <w:tcMar>
              <w:top w:w="80" w:type="dxa"/>
              <w:start w:w="80" w:type="dxa"/>
              <w:bottom w:w="80" w:type="dxa"/>
              <w:end w:w="80" w:type="dxa"/>
            </w:tcMar>
          </w:tcPr>
          <w:p>
            <w:pPr>
              <w:spacing w:after="0" w:before="0"/>
              <w:jc w:val="left"/>
            </w:pPr>
            <w:r>
              <w:rPr>
                <w:b w:val="0"/>
                <w:sz w:val="17"/>
              </w:rPr>
              <w:t>时间</w:t>
            </w:r>
          </w:p>
        </w:tc>
        <w:tc>
          <w:tcPr>
            <w:tcW w:type="dxa" w:w="8208"/>
            <w:vAlign w:val="center"/>
            <w:tcMar>
              <w:top w:w="80" w:type="dxa"/>
              <w:start w:w="80" w:type="dxa"/>
              <w:bottom w:w="80" w:type="dxa"/>
              <w:end w:w="80" w:type="dxa"/>
            </w:tcMar>
          </w:tcPr>
          <w:p>
            <w:pPr>
              <w:spacing w:after="0" w:before="0"/>
              <w:jc w:val="left"/>
            </w:pPr>
            <w:r>
              <w:rPr>
                <w:b w:val="0"/>
                <w:sz w:val="17"/>
              </w:rPr>
              <w:t>所有数据库时间使用 UTC；页面按本地时区显示。系统应记录设备时间与应用时间，防止人工改系统时间影响有效期、DAB 3 小时计时和审计。</w:t>
            </w:r>
          </w:p>
        </w:tc>
      </w:tr>
      <w:tr>
        <w:tc>
          <w:tcPr>
            <w:tcW w:type="dxa" w:w="2088"/>
            <w:vAlign w:val="center"/>
            <w:tcMar>
              <w:top w:w="80" w:type="dxa"/>
              <w:start w:w="80" w:type="dxa"/>
              <w:bottom w:w="80" w:type="dxa"/>
              <w:end w:w="80" w:type="dxa"/>
            </w:tcMar>
          </w:tcPr>
          <w:p>
            <w:pPr>
              <w:spacing w:after="0" w:before="0"/>
              <w:jc w:val="left"/>
            </w:pPr>
            <w:r>
              <w:rPr>
                <w:b w:val="0"/>
                <w:sz w:val="17"/>
              </w:rPr>
              <w:t>体积</w:t>
            </w:r>
          </w:p>
        </w:tc>
        <w:tc>
          <w:tcPr>
            <w:tcW w:type="dxa" w:w="8208"/>
            <w:vAlign w:val="center"/>
            <w:tcMar>
              <w:top w:w="80" w:type="dxa"/>
              <w:start w:w="80" w:type="dxa"/>
              <w:bottom w:w="80" w:type="dxa"/>
              <w:end w:w="80" w:type="dxa"/>
            </w:tcMar>
          </w:tcPr>
          <w:p>
            <w:pPr>
              <w:spacing w:after="0" w:before="0"/>
              <w:jc w:val="left"/>
            </w:pPr>
            <w:r>
              <w:rPr>
                <w:b w:val="0"/>
                <w:sz w:val="17"/>
              </w:rPr>
              <w:t>统一以整数 µL 存储。条码数量 050 表示 5000 µL；0.05 mL 加液表示 50 µL。不得用 float/double 保存库存。</w:t>
            </w:r>
          </w:p>
        </w:tc>
      </w:tr>
      <w:tr>
        <w:tc>
          <w:tcPr>
            <w:tcW w:type="dxa" w:w="2088"/>
            <w:vAlign w:val="center"/>
            <w:tcMar>
              <w:top w:w="80" w:type="dxa"/>
              <w:start w:w="80" w:type="dxa"/>
              <w:bottom w:w="80" w:type="dxa"/>
              <w:end w:w="80" w:type="dxa"/>
            </w:tcMar>
          </w:tcPr>
          <w:p>
            <w:pPr>
              <w:spacing w:after="0" w:before="0"/>
              <w:jc w:val="left"/>
            </w:pPr>
            <w:r>
              <w:rPr>
                <w:b w:val="0"/>
                <w:sz w:val="17"/>
              </w:rPr>
              <w:t>坐标</w:t>
            </w:r>
          </w:p>
        </w:tc>
        <w:tc>
          <w:tcPr>
            <w:tcW w:type="dxa" w:w="8208"/>
            <w:vAlign w:val="center"/>
            <w:tcMar>
              <w:top w:w="80" w:type="dxa"/>
              <w:start w:w="80" w:type="dxa"/>
              <w:bottom w:w="80" w:type="dxa"/>
              <w:end w:w="80" w:type="dxa"/>
            </w:tcMar>
          </w:tcPr>
          <w:p>
            <w:pPr>
              <w:spacing w:after="0" w:before="0"/>
              <w:jc w:val="left"/>
            </w:pPr>
            <w:r>
              <w:rPr>
                <w:b w:val="0"/>
                <w:sz w:val="17"/>
              </w:rPr>
              <w:t>统一以整数 µm 存储。25 mm 表示 25000 µm；平面预设和现场校准坐标分别保存。所有 TargetPoint 均以 Needle1 原点为坐标参考。</w:t>
            </w:r>
          </w:p>
        </w:tc>
      </w:tr>
      <w:tr>
        <w:tc>
          <w:tcPr>
            <w:tcW w:type="dxa" w:w="2088"/>
            <w:vAlign w:val="center"/>
            <w:tcMar>
              <w:top w:w="80" w:type="dxa"/>
              <w:start w:w="80" w:type="dxa"/>
              <w:bottom w:w="80" w:type="dxa"/>
              <w:end w:w="80" w:type="dxa"/>
            </w:tcMar>
          </w:tcPr>
          <w:p>
            <w:pPr>
              <w:spacing w:after="0" w:before="0"/>
              <w:jc w:val="left"/>
            </w:pPr>
            <w:r>
              <w:rPr>
                <w:b w:val="0"/>
                <w:sz w:val="17"/>
              </w:rPr>
              <w:t>温度</w:t>
            </w:r>
          </w:p>
        </w:tc>
        <w:tc>
          <w:tcPr>
            <w:tcW w:type="dxa" w:w="8208"/>
            <w:vAlign w:val="center"/>
            <w:tcMar>
              <w:top w:w="80" w:type="dxa"/>
              <w:start w:w="80" w:type="dxa"/>
              <w:bottom w:w="80" w:type="dxa"/>
              <w:end w:w="80" w:type="dxa"/>
            </w:tcMar>
          </w:tcPr>
          <w:p>
            <w:pPr>
              <w:spacing w:after="0" w:before="0"/>
              <w:jc w:val="left"/>
            </w:pPr>
            <w:r>
              <w:rPr>
                <w:b w:val="0"/>
                <w:sz w:val="17"/>
              </w:rPr>
              <w:t>统一以整数 0.1 ℃ 存储；例如 25.0 ℃ 表示 250。协议当前整度温度可在 Adapter 内转换，不应限制数据库精度。</w:t>
            </w:r>
          </w:p>
        </w:tc>
      </w:tr>
      <w:tr>
        <w:tc>
          <w:tcPr>
            <w:tcW w:type="dxa" w:w="2088"/>
            <w:vAlign w:val="center"/>
            <w:tcMar>
              <w:top w:w="80" w:type="dxa"/>
              <w:start w:w="80" w:type="dxa"/>
              <w:bottom w:w="80" w:type="dxa"/>
              <w:end w:w="80" w:type="dxa"/>
            </w:tcMar>
          </w:tcPr>
          <w:p>
            <w:pPr>
              <w:spacing w:after="0" w:before="0"/>
              <w:jc w:val="left"/>
            </w:pPr>
            <w:r>
              <w:rPr>
                <w:b w:val="0"/>
                <w:sz w:val="17"/>
              </w:rPr>
              <w:t>备份与迁移</w:t>
            </w:r>
          </w:p>
        </w:tc>
        <w:tc>
          <w:tcPr>
            <w:tcW w:type="dxa" w:w="8208"/>
            <w:vAlign w:val="center"/>
            <w:tcMar>
              <w:top w:w="80" w:type="dxa"/>
              <w:start w:w="80" w:type="dxa"/>
              <w:bottom w:w="80" w:type="dxa"/>
              <w:end w:w="80" w:type="dxa"/>
            </w:tcMar>
          </w:tcPr>
          <w:p>
            <w:pPr>
              <w:spacing w:after="0" w:before="0"/>
              <w:jc w:val="left"/>
            </w:pPr>
            <w:r>
              <w:rPr>
                <w:b w:val="0"/>
                <w:sz w:val="17"/>
              </w:rPr>
              <w:t>提供数据库手动备份、恢复和版本迁移能力；自动备份频率、保留期限、导出权限和灾难恢复演练作为上线前配置/确认事项。</w:t>
            </w:r>
          </w:p>
        </w:tc>
      </w:tr>
    </w:tbl>
    <w:p>
      <w:pPr>
        <w:pStyle w:val="Heading2"/>
        <w:spacing w:after="80"/>
      </w:pPr>
      <w:r>
        <w:t>12.5 数据实体、表组与保存内容</w:t>
      </w:r>
    </w:p>
    <w:p>
      <w:pPr>
        <w:spacing w:after="80"/>
      </w:pPr>
      <w:r>
        <w:t>数据库按“目录与配置、运行实例、可追溯消耗、审计与遥测”分组。下表列出首版必须具备的逻辑表组；实际物理表可在不改变语义和追溯能力的前提下拆分或合并。</w:t>
      </w:r>
    </w:p>
    <w:tbl>
      <w:tblPr>
        <w:tblStyle w:val="TableGrid"/>
        <w:tblW w:type="auto" w:w="0"/>
        <w:jc w:val="center"/>
        <w:tblLayout w:type="autofit"/>
        <w:tblLook w:firstColumn="1" w:firstRow="1" w:lastColumn="0" w:lastRow="0" w:noHBand="0" w:noVBand="1" w:val="04A0"/>
      </w:tblPr>
      <w:tblGrid>
        <w:gridCol w:w="3494"/>
        <w:gridCol w:w="3494"/>
        <w:gridCol w:w="3494"/>
      </w:tblGrid>
      <w:tr>
        <w:trPr>
          <w:tblHeader w:val="true"/>
          <w:cantSplit/>
        </w:trPr>
        <w:tc>
          <w:tcPr>
            <w:tcW w:type="dxa" w:w="1944"/>
            <w:vAlign w:val="center"/>
            <w:tcMar>
              <w:top w:w="80" w:type="dxa"/>
              <w:start w:w="80" w:type="dxa"/>
              <w:bottom w:w="80" w:type="dxa"/>
              <w:end w:w="80" w:type="dxa"/>
            </w:tcMar>
            <w:shd w:fill="D9EAF7" w:val="clear"/>
          </w:tcPr>
          <w:p>
            <w:pPr>
              <w:spacing w:after="0" w:before="0"/>
              <w:jc w:val="left"/>
            </w:pPr>
            <w:r>
              <w:rPr>
                <w:b/>
                <w:sz w:val="17"/>
              </w:rPr>
              <w:t>数据域</w:t>
            </w:r>
          </w:p>
        </w:tc>
        <w:tc>
          <w:tcPr>
            <w:tcW w:type="dxa" w:w="3528"/>
            <w:vAlign w:val="center"/>
            <w:tcMar>
              <w:top w:w="80" w:type="dxa"/>
              <w:start w:w="80" w:type="dxa"/>
              <w:bottom w:w="80" w:type="dxa"/>
              <w:end w:w="80" w:type="dxa"/>
            </w:tcMar>
            <w:shd w:fill="D9EAF7" w:val="clear"/>
          </w:tcPr>
          <w:p>
            <w:pPr>
              <w:spacing w:after="0" w:before="0"/>
              <w:jc w:val="left"/>
            </w:pPr>
            <w:r>
              <w:rPr>
                <w:b/>
                <w:sz w:val="17"/>
              </w:rPr>
              <w:t>建议逻辑表</w:t>
            </w:r>
          </w:p>
        </w:tc>
        <w:tc>
          <w:tcPr>
            <w:tcW w:type="dxa" w:w="4824"/>
            <w:vAlign w:val="center"/>
            <w:tcMar>
              <w:top w:w="80" w:type="dxa"/>
              <w:start w:w="80" w:type="dxa"/>
              <w:bottom w:w="80" w:type="dxa"/>
              <w:end w:w="80" w:type="dxa"/>
            </w:tcMar>
            <w:shd w:fill="D9EAF7" w:val="clear"/>
          </w:tcPr>
          <w:p>
            <w:pPr>
              <w:spacing w:after="0" w:before="0"/>
              <w:jc w:val="left"/>
            </w:pPr>
            <w:r>
              <w:rPr>
                <w:b/>
                <w:sz w:val="17"/>
              </w:rPr>
              <w:t>必须保存的数据</w:t>
            </w:r>
          </w:p>
        </w:tc>
      </w:tr>
      <w:tr>
        <w:trPr>
          <w:cantSplit/>
        </w:trPr>
        <w:tc>
          <w:tcPr>
            <w:tcW w:type="dxa" w:w="1944"/>
            <w:vAlign w:val="center"/>
            <w:tcMar>
              <w:top w:w="80" w:type="dxa"/>
              <w:start w:w="80" w:type="dxa"/>
              <w:bottom w:w="80" w:type="dxa"/>
              <w:end w:w="80" w:type="dxa"/>
            </w:tcMar>
          </w:tcPr>
          <w:p>
            <w:pPr>
              <w:spacing w:after="0" w:before="0"/>
              <w:jc w:val="left"/>
            </w:pPr>
            <w:r>
              <w:rPr>
                <w:b w:val="0"/>
                <w:sz w:val="17"/>
              </w:rPr>
              <w:t>用户、权限与审计</w:t>
            </w:r>
          </w:p>
        </w:tc>
        <w:tc>
          <w:tcPr>
            <w:tcW w:type="dxa" w:w="3528"/>
            <w:vAlign w:val="center"/>
            <w:tcMar>
              <w:top w:w="80" w:type="dxa"/>
              <w:start w:w="80" w:type="dxa"/>
              <w:bottom w:w="80" w:type="dxa"/>
              <w:end w:w="80" w:type="dxa"/>
            </w:tcMar>
          </w:tcPr>
          <w:p>
            <w:pPr>
              <w:spacing w:after="0" w:before="0"/>
              <w:jc w:val="left"/>
            </w:pPr>
            <w:r>
              <w:rPr>
                <w:b w:val="0"/>
                <w:sz w:val="17"/>
              </w:rPr>
              <w:t>users、roles、user_roles、audit_logs</w:t>
            </w:r>
          </w:p>
        </w:tc>
        <w:tc>
          <w:tcPr>
            <w:tcW w:type="dxa" w:w="4824"/>
            <w:vAlign w:val="center"/>
            <w:tcMar>
              <w:top w:w="80" w:type="dxa"/>
              <w:start w:w="80" w:type="dxa"/>
              <w:bottom w:w="80" w:type="dxa"/>
              <w:end w:w="80" w:type="dxa"/>
            </w:tcMar>
          </w:tcPr>
          <w:p>
            <w:pPr>
              <w:spacing w:after="0" w:before="0"/>
              <w:jc w:val="left"/>
            </w:pPr>
            <w:r>
              <w:rPr>
                <w:b w:val="0"/>
                <w:sz w:val="17"/>
              </w:rPr>
              <w:t>账号、角色、启停状态、登录时间；操作人、动作、对象、前后差异、原因、CorrelationId/CommandId。</w:t>
            </w:r>
          </w:p>
        </w:tc>
      </w:tr>
      <w:tr>
        <w:trPr>
          <w:cantSplit/>
        </w:trPr>
        <w:tc>
          <w:tcPr>
            <w:tcW w:type="dxa" w:w="1944"/>
            <w:vAlign w:val="center"/>
            <w:tcMar>
              <w:top w:w="80" w:type="dxa"/>
              <w:start w:w="80" w:type="dxa"/>
              <w:bottom w:w="80" w:type="dxa"/>
              <w:end w:w="80" w:type="dxa"/>
            </w:tcMar>
          </w:tcPr>
          <w:p>
            <w:pPr>
              <w:spacing w:after="0" w:before="0"/>
              <w:jc w:val="left"/>
            </w:pPr>
            <w:r>
              <w:rPr>
                <w:b w:val="0"/>
                <w:sz w:val="17"/>
              </w:rPr>
              <w:t>流程与一抗映射</w:t>
            </w:r>
          </w:p>
        </w:tc>
        <w:tc>
          <w:tcPr>
            <w:tcW w:type="dxa" w:w="3528"/>
            <w:vAlign w:val="center"/>
            <w:tcMar>
              <w:top w:w="80" w:type="dxa"/>
              <w:start w:w="80" w:type="dxa"/>
              <w:bottom w:w="80" w:type="dxa"/>
              <w:end w:w="80" w:type="dxa"/>
            </w:tcMar>
          </w:tcPr>
          <w:p>
            <w:pPr>
              <w:spacing w:after="0" w:before="0"/>
              <w:jc w:val="left"/>
            </w:pPr>
            <w:r>
              <w:rPr>
                <w:b w:val="0"/>
                <w:sz w:val="17"/>
              </w:rPr>
              <w:t>workflow_definitions、workflow_versions、workflow_steps、workflow_reagent_requirements、primary_antibody_workflow_mappings</w:t>
            </w:r>
          </w:p>
        </w:tc>
        <w:tc>
          <w:tcPr>
            <w:tcW w:type="dxa" w:w="4824"/>
            <w:vAlign w:val="center"/>
            <w:tcMar>
              <w:top w:w="80" w:type="dxa"/>
              <w:start w:w="80" w:type="dxa"/>
              <w:bottom w:w="80" w:type="dxa"/>
              <w:end w:w="80" w:type="dxa"/>
            </w:tcMar>
          </w:tcPr>
          <w:p>
            <w:pPr>
              <w:spacing w:after="0" w:before="0"/>
              <w:jc w:val="left"/>
            </w:pPr>
            <w:r>
              <w:rPr>
                <w:b w:val="0"/>
                <w:sz w:val="17"/>
              </w:rPr>
              <w:t>HE/IHC 流程定义与版本、步骤、体积/时长/温度/资源需求、试剂要求；一抗代码到多个已发布 IHC 脚本的 1:N 映射。</w:t>
            </w:r>
          </w:p>
        </w:tc>
      </w:tr>
      <w:tr>
        <w:trPr>
          <w:cantSplit/>
        </w:trPr>
        <w:tc>
          <w:tcPr>
            <w:tcW w:type="dxa" w:w="1944"/>
            <w:vAlign w:val="center"/>
            <w:tcMar>
              <w:top w:w="80" w:type="dxa"/>
              <w:start w:w="80" w:type="dxa"/>
              <w:bottom w:w="80" w:type="dxa"/>
              <w:end w:w="80" w:type="dxa"/>
            </w:tcMar>
          </w:tcPr>
          <w:p>
            <w:pPr>
              <w:spacing w:after="0" w:before="0"/>
              <w:jc w:val="left"/>
            </w:pPr>
            <w:r>
              <w:rPr>
                <w:b w:val="0"/>
                <w:sz w:val="17"/>
              </w:rPr>
              <w:t>物理布局与工程配置</w:t>
            </w:r>
          </w:p>
        </w:tc>
        <w:tc>
          <w:tcPr>
            <w:tcW w:type="dxa" w:w="3528"/>
            <w:vAlign w:val="center"/>
            <w:tcMar>
              <w:top w:w="80" w:type="dxa"/>
              <w:start w:w="80" w:type="dxa"/>
              <w:bottom w:w="80" w:type="dxa"/>
              <w:end w:w="80" w:type="dxa"/>
            </w:tcMar>
          </w:tcPr>
          <w:p>
            <w:pPr>
              <w:spacing w:after="0" w:before="0"/>
              <w:jc w:val="left"/>
            </w:pPr>
            <w:r>
              <w:rPr>
                <w:b w:val="0"/>
                <w:sz w:val="17"/>
              </w:rPr>
              <w:t>drawers、physical_slots、reagent_rack_positions、dab_mix_positions、wash_positions、coordinate_profiles、coordinate_points、device_profiles</w:t>
            </w:r>
          </w:p>
        </w:tc>
        <w:tc>
          <w:tcPr>
            <w:tcW w:type="dxa" w:w="4824"/>
            <w:vAlign w:val="center"/>
            <w:tcMar>
              <w:top w:w="80" w:type="dxa"/>
              <w:start w:w="80" w:type="dxa"/>
              <w:bottom w:w="80" w:type="dxa"/>
              <w:end w:w="80" w:type="dxa"/>
            </w:tcMar>
          </w:tcPr>
          <w:p>
            <w:pPr>
              <w:spacing w:after="0" w:before="0"/>
              <w:jc w:val="left"/>
            </w:pPr>
            <w:r>
              <w:rPr>
                <w:b w:val="0"/>
                <w:sz w:val="17"/>
              </w:rPr>
              <w:t>A-D/16 Slot、R1-R40、M1-M8、洗内/外壁位、DAB A/B 位；默认/校准坐标、Z 参数、NeedleOffset、液体类型和设备映射版本。</w:t>
            </w:r>
          </w:p>
        </w:tc>
      </w:tr>
      <w:tr>
        <w:trPr>
          <w:cantSplit/>
        </w:trPr>
        <w:tc>
          <w:tcPr>
            <w:tcW w:type="dxa" w:w="1944"/>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样本、批次与运行</w:t>
            </w:r>
          </w:p>
        </w:tc>
        <w:tc>
          <w:tcPr>
            <w:tcW w:type="dxa" w:w="3528"/>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channel_batches、workflow_assignment_histories、slide_tasks、machine_runs、workflow_executions、workflow_step_executions、device_command_executions</w:t>
            </w:r>
          </w:p>
        </w:tc>
        <w:tc>
          <w:tcPr>
            <w:tcW w:type="dxa" w:w="4824"/>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ChannelBatch 的实验类型、已选流程版本、流程快照、选择/锁定时间与历史；玻片码/LIS/一抗兼容性、Slot、当前步骤、运行状态、原子命令状态、暂停/停止/故障恢复与重做记录。</w:t>
            </w:r>
          </w:p>
        </w:tc>
      </w:tr>
      <w:tr>
        <w:trPr>
          <w:cantSplit/>
        </w:trPr>
        <w:tc>
          <w:tcPr>
            <w:tcW w:type="dxa" w:w="1944"/>
            <w:vAlign w:val="center"/>
            <w:tcMar>
              <w:top w:w="80" w:type="dxa"/>
              <w:start w:w="80" w:type="dxa"/>
              <w:bottom w:w="80" w:type="dxa"/>
              <w:end w:w="80" w:type="dxa"/>
            </w:tcMar>
          </w:tcPr>
          <w:p>
            <w:pPr>
              <w:spacing w:after="0" w:before="0"/>
              <w:jc w:val="left"/>
            </w:pPr>
            <w:r>
              <w:rPr>
                <w:b w:val="0"/>
                <w:sz w:val="17"/>
              </w:rPr>
              <w:t>试剂、扫码与库存</w:t>
            </w:r>
          </w:p>
        </w:tc>
        <w:tc>
          <w:tcPr>
            <w:tcW w:type="dxa" w:w="3528"/>
            <w:vAlign w:val="center"/>
            <w:tcMar>
              <w:top w:w="80" w:type="dxa"/>
              <w:start w:w="80" w:type="dxa"/>
              <w:bottom w:w="80" w:type="dxa"/>
              <w:end w:w="80" w:type="dxa"/>
            </w:tcMar>
          </w:tcPr>
          <w:p>
            <w:pPr>
              <w:spacing w:after="0" w:before="0"/>
              <w:jc w:val="left"/>
            </w:pPr>
            <w:r>
              <w:rPr>
                <w:b w:val="0"/>
                <w:sz w:val="17"/>
              </w:rPr>
              <w:t>reagent_definitions、reagent_bottles、reagent_rack_placements、reagent_scan_sessions、reagent_scan_items、reagent_reservations、dispense_executions、reagent_consumptions</w:t>
            </w:r>
          </w:p>
        </w:tc>
        <w:tc>
          <w:tcPr>
            <w:tcW w:type="dxa" w:w="4824"/>
            <w:vAlign w:val="center"/>
            <w:tcMar>
              <w:top w:w="80" w:type="dxa"/>
              <w:start w:w="80" w:type="dxa"/>
              <w:bottom w:w="80" w:type="dxa"/>
              <w:end w:w="80" w:type="dxa"/>
            </w:tcMar>
          </w:tcPr>
          <w:p>
            <w:pPr>
              <w:spacing w:after="0" w:before="0"/>
              <w:jc w:val="left"/>
            </w:pPr>
            <w:r>
              <w:rPr>
                <w:b w:val="0"/>
                <w:sz w:val="17"/>
              </w:rPr>
              <w:t>试剂目录、17 位条码、批号、序号、初始/剩余 µL、R 位历史、扫描原文与解析结果、预占量、每次加液来源瓶和跨瓶消耗。</w:t>
            </w:r>
          </w:p>
        </w:tc>
      </w:tr>
      <w:tr>
        <w:trPr>
          <w:cantSplit/>
        </w:trPr>
        <w:tc>
          <w:tcPr>
            <w:tcW w:type="dxa" w:w="1944"/>
            <w:vAlign w:val="center"/>
            <w:tcMar>
              <w:top w:w="80" w:type="dxa"/>
              <w:start w:w="80" w:type="dxa"/>
              <w:bottom w:w="80" w:type="dxa"/>
              <w:end w:w="80" w:type="dxa"/>
            </w:tcMar>
          </w:tcPr>
          <w:p>
            <w:pPr>
              <w:spacing w:after="0" w:before="0"/>
              <w:jc w:val="left"/>
            </w:pPr>
            <w:r>
              <w:rPr>
                <w:b w:val="0"/>
                <w:sz w:val="17"/>
              </w:rPr>
              <w:t>DAB 配制</w:t>
            </w:r>
          </w:p>
        </w:tc>
        <w:tc>
          <w:tcPr>
            <w:tcW w:type="dxa" w:w="3528"/>
            <w:vAlign w:val="center"/>
            <w:tcMar>
              <w:top w:w="80" w:type="dxa"/>
              <w:start w:w="80" w:type="dxa"/>
              <w:bottom w:w="80" w:type="dxa"/>
              <w:end w:w="80" w:type="dxa"/>
            </w:tcMar>
          </w:tcPr>
          <w:p>
            <w:pPr>
              <w:spacing w:after="0" w:before="0"/>
              <w:jc w:val="left"/>
            </w:pPr>
            <w:r>
              <w:rPr>
                <w:b w:val="0"/>
                <w:sz w:val="17"/>
              </w:rPr>
              <w:t>dab_batches、dab_batch_usages</w:t>
            </w:r>
          </w:p>
        </w:tc>
        <w:tc>
          <w:tcPr>
            <w:tcW w:type="dxa" w:w="4824"/>
            <w:vAlign w:val="center"/>
            <w:tcMar>
              <w:top w:w="80" w:type="dxa"/>
              <w:start w:w="80" w:type="dxa"/>
              <w:bottom w:w="80" w:type="dxa"/>
              <w:end w:w="80" w:type="dxa"/>
            </w:tcMar>
          </w:tcPr>
          <w:p>
            <w:pPr>
              <w:spacing w:after="0" w:before="0"/>
              <w:jc w:val="left"/>
            </w:pPr>
            <w:r>
              <w:rPr>
                <w:b w:val="0"/>
                <w:sz w:val="17"/>
              </w:rPr>
              <w:t>M1-M8 位置、A/B 来源瓶、配制时间、3 小时到期时间、剩余量、配制/过期/清洗状态，以及关联玻片步骤的使用量。</w:t>
            </w:r>
          </w:p>
        </w:tc>
      </w:tr>
      <w:tr>
        <w:trPr>
          <w:cantSplit/>
        </w:trPr>
        <w:tc>
          <w:tcPr>
            <w:tcW w:type="dxa" w:w="1944"/>
            <w:vAlign w:val="center"/>
            <w:tcMar>
              <w:top w:w="80" w:type="dxa"/>
              <w:start w:w="80" w:type="dxa"/>
              <w:bottom w:w="80" w:type="dxa"/>
              <w:end w:w="80" w:type="dxa"/>
            </w:tcMar>
          </w:tcPr>
          <w:p>
            <w:pPr>
              <w:spacing w:after="0" w:before="0"/>
              <w:jc w:val="left"/>
            </w:pPr>
            <w:r>
              <w:rPr>
                <w:b w:val="0"/>
                <w:sz w:val="17"/>
              </w:rPr>
              <w:t>告警、遥测与通讯</w:t>
            </w:r>
          </w:p>
        </w:tc>
        <w:tc>
          <w:tcPr>
            <w:tcW w:type="dxa" w:w="3528"/>
            <w:vAlign w:val="center"/>
            <w:tcMar>
              <w:top w:w="80" w:type="dxa"/>
              <w:start w:w="80" w:type="dxa"/>
              <w:bottom w:w="80" w:type="dxa"/>
              <w:end w:w="80" w:type="dxa"/>
            </w:tcMar>
          </w:tcPr>
          <w:p>
            <w:pPr>
              <w:spacing w:after="0" w:before="0"/>
              <w:jc w:val="left"/>
            </w:pPr>
            <w:r>
              <w:rPr>
                <w:b w:val="0"/>
                <w:sz w:val="17"/>
              </w:rPr>
              <w:t>alarms、alarm_actions、device_status_snapshots、device_telemetry_samples、communication_logs</w:t>
            </w:r>
          </w:p>
        </w:tc>
        <w:tc>
          <w:tcPr>
            <w:tcW w:type="dxa" w:w="4824"/>
            <w:vAlign w:val="center"/>
            <w:tcMar>
              <w:top w:w="80" w:type="dxa"/>
              <w:start w:w="80" w:type="dxa"/>
              <w:bottom w:w="80" w:type="dxa"/>
              <w:end w:w="80" w:type="dxa"/>
            </w:tcMar>
          </w:tcPr>
          <w:p>
            <w:pPr>
              <w:spacing w:after="0" w:before="0"/>
              <w:jc w:val="left"/>
            </w:pPr>
            <w:r>
              <w:rPr>
                <w:b w:val="0"/>
                <w:sz w:val="17"/>
              </w:rPr>
              <w:t>告警等级、影响对象、确认/解除；温控/泵/混匀/液位关键快照；工程师启用时保存原始 TX/RX 帧及解析结果。</w:t>
            </w:r>
          </w:p>
        </w:tc>
      </w:tr>
      <w:tr>
        <w:trPr>
          <w:cantSplit/>
        </w:trPr>
        <w:tc>
          <w:tcPr>
            <w:tcW w:type="dxa" w:w="1944"/>
            <w:vAlign w:val="center"/>
            <w:tcMar>
              <w:top w:w="80" w:type="dxa"/>
              <w:start w:w="80" w:type="dxa"/>
              <w:bottom w:w="80" w:type="dxa"/>
              <w:end w:w="80" w:type="dxa"/>
            </w:tcMar>
          </w:tcPr>
          <w:p>
            <w:pPr>
              <w:spacing w:after="0" w:before="0"/>
              <w:jc w:val="left"/>
            </w:pPr>
            <w:r>
              <w:rPr>
                <w:b w:val="0"/>
                <w:sz w:val="17"/>
              </w:rPr>
              <w:t>LIS 查询</w:t>
            </w:r>
          </w:p>
        </w:tc>
        <w:tc>
          <w:tcPr>
            <w:tcW w:type="dxa" w:w="3528"/>
            <w:vAlign w:val="center"/>
            <w:tcMar>
              <w:top w:w="80" w:type="dxa"/>
              <w:start w:w="80" w:type="dxa"/>
              <w:bottom w:w="80" w:type="dxa"/>
              <w:end w:w="80" w:type="dxa"/>
            </w:tcMar>
          </w:tcPr>
          <w:p>
            <w:pPr>
              <w:spacing w:after="0" w:before="0"/>
              <w:jc w:val="left"/>
            </w:pPr>
            <w:r>
              <w:rPr>
                <w:b w:val="0"/>
                <w:sz w:val="17"/>
              </w:rPr>
              <w:t>lis_query_logs、lis_query_candidates</w:t>
            </w:r>
          </w:p>
        </w:tc>
        <w:tc>
          <w:tcPr>
            <w:tcW w:type="dxa" w:w="4824"/>
            <w:vAlign w:val="center"/>
            <w:tcMar>
              <w:top w:w="80" w:type="dxa"/>
              <w:start w:w="80" w:type="dxa"/>
              <w:bottom w:w="80" w:type="dxa"/>
              <w:end w:w="80" w:type="dxa"/>
            </w:tcMar>
          </w:tcPr>
          <w:p>
            <w:pPr>
              <w:spacing w:after="0" w:before="0"/>
              <w:jc w:val="left"/>
            </w:pPr>
            <w:r>
              <w:rPr>
                <w:b w:val="0"/>
                <w:sz w:val="17"/>
              </w:rPr>
              <w:t>医院原始码、标准化码、查询时间、返回候选一抗、最终人工选择、查询异常；首版仅只读，不回写 LIS。</w:t>
            </w:r>
          </w:p>
        </w:tc>
      </w:tr>
    </w:tbl>
    <w:p>
      <w:pPr>
        <w:pStyle w:val="Heading2"/>
        <w:spacing w:after="80"/>
      </w:pPr>
      <w:r>
        <w:t>12.6 关键数据模型与版本快照</w:t>
      </w:r>
    </w:p>
    <w:tbl>
      <w:tblPr>
        <w:tblStyle w:val="TableGrid"/>
        <w:tblW w:type="auto" w:w="0"/>
        <w:jc w:val="center"/>
        <w:tblLayout w:type="autofit"/>
        <w:tblLook w:firstColumn="1" w:firstRow="1" w:lastColumn="0" w:lastRow="0" w:noHBand="0" w:noVBand="1" w:val="04A0"/>
      </w:tblPr>
      <w:tblGrid>
        <w:gridCol w:w="5241"/>
        <w:gridCol w:w="5241"/>
      </w:tblGrid>
      <w:tr>
        <w:trPr>
          <w:tblHeader w:val="true"/>
          <w:cantSplit/>
        </w:trPr>
        <w:tc>
          <w:tcPr>
            <w:tcW w:type="dxa" w:w="2088"/>
            <w:vAlign w:val="center"/>
            <w:tcMar>
              <w:top w:w="80" w:type="dxa"/>
              <w:start w:w="80" w:type="dxa"/>
              <w:bottom w:w="80" w:type="dxa"/>
              <w:end w:w="80" w:type="dxa"/>
            </w:tcMar>
            <w:shd w:fill="D9EAF7" w:val="clear"/>
          </w:tcPr>
          <w:p>
            <w:pPr>
              <w:spacing w:after="0" w:before="0"/>
              <w:jc w:val="left"/>
            </w:pPr>
            <w:r>
              <w:rPr>
                <w:b/>
                <w:sz w:val="17"/>
              </w:rPr>
              <w:t>对象</w:t>
            </w:r>
          </w:p>
        </w:tc>
        <w:tc>
          <w:tcPr>
            <w:tcW w:type="dxa" w:w="8208"/>
            <w:vAlign w:val="center"/>
            <w:tcMar>
              <w:top w:w="80" w:type="dxa"/>
              <w:start w:w="80" w:type="dxa"/>
              <w:bottom w:w="80" w:type="dxa"/>
              <w:end w:w="80" w:type="dxa"/>
            </w:tcMar>
            <w:shd w:fill="D9EAF7" w:val="clear"/>
          </w:tcPr>
          <w:p>
            <w:pPr>
              <w:spacing w:after="0" w:before="0"/>
              <w:jc w:val="left"/>
            </w:pPr>
            <w:r>
              <w:rPr>
                <w:b/>
                <w:sz w:val="17"/>
              </w:rPr>
              <w:t>关系与规则</w:t>
            </w:r>
          </w:p>
        </w:tc>
      </w:tr>
      <w:tr>
        <w:trPr>
          <w:cantSplit/>
        </w:trPr>
        <w:tc>
          <w:tcPr>
            <w:tcW w:type="dxa" w:w="2088"/>
            <w:vAlign w:val="center"/>
            <w:tcMar>
              <w:top w:w="80" w:type="dxa"/>
              <w:start w:w="80" w:type="dxa"/>
              <w:bottom w:w="80" w:type="dxa"/>
              <w:end w:w="80" w:type="dxa"/>
            </w:tcMar>
          </w:tcPr>
          <w:p>
            <w:pPr>
              <w:spacing w:after="0" w:before="0"/>
              <w:jc w:val="left"/>
            </w:pPr>
            <w:r>
              <w:rPr>
                <w:b w:val="0"/>
                <w:sz w:val="17"/>
              </w:rPr>
              <w:t>试剂瓶与位置</w:t>
            </w:r>
          </w:p>
        </w:tc>
        <w:tc>
          <w:tcPr>
            <w:tcW w:type="dxa" w:w="8208"/>
            <w:vAlign w:val="center"/>
            <w:tcMar>
              <w:top w:w="80" w:type="dxa"/>
              <w:start w:w="80" w:type="dxa"/>
              <w:bottom w:w="80" w:type="dxa"/>
              <w:end w:w="80" w:type="dxa"/>
            </w:tcMar>
          </w:tcPr>
          <w:p>
            <w:pPr>
              <w:spacing w:after="0" w:before="0"/>
              <w:jc w:val="left"/>
            </w:pPr>
            <w:r>
              <w:rPr>
                <w:b w:val="0"/>
                <w:sz w:val="17"/>
              </w:rPr>
              <w:t>reagent_bottles 表示真实瓶实例，reagent_rack_placements 表示其当前/历史 R 位。不得将“瓶身份”和“当前位置”混为一条不可追溯记录。</w:t>
            </w:r>
          </w:p>
        </w:tc>
      </w:tr>
      <w:tr>
        <w:trPr>
          <w:cantSplit/>
        </w:trPr>
        <w:tc>
          <w:tcPr>
            <w:tcW w:type="dxa" w:w="2088"/>
            <w:vAlign w:val="center"/>
            <w:tcMar>
              <w:top w:w="80" w:type="dxa"/>
              <w:start w:w="80" w:type="dxa"/>
              <w:bottom w:w="80" w:type="dxa"/>
              <w:end w:w="80" w:type="dxa"/>
            </w:tcMar>
          </w:tcPr>
          <w:p>
            <w:pPr>
              <w:spacing w:after="0" w:before="0"/>
              <w:jc w:val="left"/>
            </w:pPr>
            <w:r>
              <w:rPr>
                <w:b w:val="0"/>
                <w:sz w:val="17"/>
              </w:rPr>
              <w:t>试剂消耗</w:t>
            </w:r>
          </w:p>
        </w:tc>
        <w:tc>
          <w:tcPr>
            <w:tcW w:type="dxa" w:w="8208"/>
            <w:vAlign w:val="center"/>
            <w:tcMar>
              <w:top w:w="80" w:type="dxa"/>
              <w:start w:w="80" w:type="dxa"/>
              <w:bottom w:w="80" w:type="dxa"/>
              <w:end w:w="80" w:type="dxa"/>
            </w:tcMar>
          </w:tcPr>
          <w:p>
            <w:pPr>
              <w:spacing w:after="0" w:before="0"/>
              <w:jc w:val="left"/>
            </w:pPr>
            <w:r>
              <w:rPr>
                <w:b w:val="0"/>
                <w:sz w:val="17"/>
              </w:rPr>
              <w:t>一次 DispenseExecution 可关联多条 ReagentConsumption；支持同代码多瓶合并判断、逐瓶扣减、跨瓶补足和不同批号混用。单瓶扣减至 0 µL 时产生耗尽事件和弹窗。</w:t>
            </w:r>
          </w:p>
        </w:tc>
      </w:tr>
      <w:tr>
        <w:trPr>
          <w:cantSplit/>
        </w:trPr>
        <w:tc>
          <w:tcPr>
            <w:tcW w:type="dxa" w:w="2088"/>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通道脚本快照</w:t>
            </w:r>
          </w:p>
        </w:tc>
        <w:tc>
          <w:tcPr>
            <w:tcW w:type="dxa" w:w="8208"/>
            <w:vAlign w:val="center"/>
            <w:tcMar>
              <w:top w:w="80" w:type="dxa"/>
              <w:start w:w="80" w:type="dxa"/>
              <w:bottom w:w="80" w:type="dxa"/>
              <w:end w:w="80" w:type="dxa"/>
            </w:tcMar>
          </w:tcPr>
          <w:p>
            <w:pPr>
              <w:spacing w:after="0"/>
              <w:jc w:val="left"/>
            </w:pPr>
            <w:r/>
            <w:r>
              <w:rPr>
                <w:rFonts w:ascii="Noto Sans CJK SC" w:hAnsi="Noto Sans CJK SC" w:eastAsia="Noto Sans CJK SC"/>
                <w:b w:val="0"/>
                <w:sz w:val="17"/>
              </w:rPr>
              <w:t>ChannelBatch 选择脚本时固化实验类型、流程版本、流程步骤/试剂要求快照、坐标版本、液体类型版本和关键设备配置版本；SlideTask 继承并记录一抗兼容性。后续管理员修改配置不得改变历史/活动通道批次。</w:t>
            </w:r>
          </w:p>
        </w:tc>
      </w:tr>
      <w:tr>
        <w:trPr>
          <w:cantSplit/>
        </w:trPr>
        <w:tc>
          <w:tcPr>
            <w:tcW w:type="dxa" w:w="2088"/>
            <w:vAlign w:val="center"/>
            <w:tcMar>
              <w:top w:w="80" w:type="dxa"/>
              <w:start w:w="80" w:type="dxa"/>
              <w:bottom w:w="80" w:type="dxa"/>
              <w:end w:w="80" w:type="dxa"/>
            </w:tcMar>
          </w:tcPr>
          <w:p>
            <w:pPr>
              <w:spacing w:after="0" w:before="0"/>
              <w:jc w:val="left"/>
            </w:pPr>
            <w:r>
              <w:rPr>
                <w:b w:val="0"/>
                <w:sz w:val="17"/>
              </w:rPr>
              <w:t>运行快照</w:t>
            </w:r>
          </w:p>
        </w:tc>
        <w:tc>
          <w:tcPr>
            <w:tcW w:type="dxa" w:w="8208"/>
            <w:vAlign w:val="center"/>
            <w:tcMar>
              <w:top w:w="80" w:type="dxa"/>
              <w:start w:w="80" w:type="dxa"/>
              <w:bottom w:w="80" w:type="dxa"/>
              <w:end w:w="80" w:type="dxa"/>
            </w:tcMar>
          </w:tcPr>
          <w:p>
            <w:pPr>
              <w:spacing w:after="0" w:before="0"/>
              <w:jc w:val="left"/>
            </w:pPr>
            <w:r>
              <w:rPr>
                <w:b w:val="0"/>
                <w:sz w:val="17"/>
              </w:rPr>
              <w:t>MachineRun 固化启动时的试剂扫码会话、坐标/设备配置版本、参与通道批次和启动校验结果。</w:t>
            </w:r>
          </w:p>
        </w:tc>
      </w:tr>
      <w:tr>
        <w:trPr>
          <w:cantSplit/>
        </w:trPr>
        <w:tc>
          <w:tcPr>
            <w:tcW w:type="dxa" w:w="2088"/>
            <w:vAlign w:val="center"/>
            <w:tcMar>
              <w:top w:w="80" w:type="dxa"/>
              <w:start w:w="80" w:type="dxa"/>
              <w:bottom w:w="80" w:type="dxa"/>
              <w:end w:w="80" w:type="dxa"/>
            </w:tcMar>
          </w:tcPr>
          <w:p>
            <w:pPr>
              <w:spacing w:after="0" w:before="0"/>
              <w:jc w:val="left"/>
            </w:pPr>
            <w:r>
              <w:rPr>
                <w:b w:val="0"/>
                <w:sz w:val="17"/>
              </w:rPr>
              <w:t>配置版本</w:t>
            </w:r>
          </w:p>
        </w:tc>
        <w:tc>
          <w:tcPr>
            <w:tcW w:type="dxa" w:w="8208"/>
            <w:vAlign w:val="center"/>
            <w:tcMar>
              <w:top w:w="80" w:type="dxa"/>
              <w:start w:w="80" w:type="dxa"/>
              <w:bottom w:w="80" w:type="dxa"/>
              <w:end w:w="80" w:type="dxa"/>
            </w:tcMar>
          </w:tcPr>
          <w:p>
            <w:pPr>
              <w:spacing w:after="0" w:before="0"/>
              <w:jc w:val="left"/>
            </w:pPr>
            <w:r>
              <w:rPr>
                <w:b w:val="0"/>
                <w:sz w:val="17"/>
              </w:rPr>
              <w:t>流程、坐标、液体类型、设备通讯/映射等关键配置采用“新建版本-发布/启用”方式；被运行任务引用的版本不可直接修改。</w:t>
            </w:r>
          </w:p>
        </w:tc>
      </w:tr>
    </w:tbl>
    <w:p>
      <w:pPr>
        <w:pStyle w:val="Heading2"/>
        <w:spacing w:after="80"/>
      </w:pPr>
      <w:r>
        <w:t>12.7 执行账本、断电恢复与实时状态</w:t>
      </w:r>
    </w:p>
    <w:p>
      <w:pPr>
        <w:spacing w:after="80"/>
      </w:pPr>
      <w:r/>
      <w:r>
        <w:rPr>
          <w:rFonts w:ascii="Noto Sans CJK SC" w:hAnsi="Noto Sans CJK SC" w:eastAsia="Noto Sans CJK SC"/>
          <w:sz w:val="17"/>
        </w:rPr>
        <w:t>数据库保存可恢复执行账本，但不作为实时控制循环。实时调度、设备轮询、超时判断和 SignalR 分发由 C# 后台 MachineExecutor 在内存中执行；关键节点、状态变化、命令和结果必须及时持久化。</w:t>
      </w:r>
    </w:p>
    <w:tbl>
      <w:tblPr>
        <w:tblStyle w:val="TableGrid"/>
        <w:tblW w:type="auto" w:w="0"/>
        <w:jc w:val="center"/>
        <w:tblLayout w:type="autofit"/>
        <w:tblLook w:firstColumn="1" w:firstRow="1" w:lastColumn="0" w:lastRow="0" w:noHBand="0" w:noVBand="1" w:val="04A0"/>
      </w:tblPr>
      <w:tblGrid>
        <w:gridCol w:w="5241"/>
        <w:gridCol w:w="5241"/>
      </w:tblGrid>
      <w:tr>
        <w:trPr>
          <w:tblHeader w:val="true"/>
          <w:cantSplit/>
        </w:trPr>
        <w:tc>
          <w:tcPr>
            <w:tcW w:type="dxa" w:w="2232"/>
            <w:vAlign w:val="center"/>
            <w:tcMar>
              <w:top w:w="80" w:type="dxa"/>
              <w:start w:w="80" w:type="dxa"/>
              <w:bottom w:w="80" w:type="dxa"/>
              <w:end w:w="80" w:type="dxa"/>
            </w:tcMar>
            <w:shd w:fill="D9EAF7" w:val="clear"/>
          </w:tcPr>
          <w:p>
            <w:pPr>
              <w:spacing w:after="0" w:before="0"/>
              <w:jc w:val="left"/>
            </w:pPr>
            <w:r>
              <w:rPr>
                <w:b/>
                <w:sz w:val="17"/>
              </w:rPr>
              <w:t>对象</w:t>
            </w:r>
          </w:p>
        </w:tc>
        <w:tc>
          <w:tcPr>
            <w:tcW w:type="dxa" w:w="8064"/>
            <w:vAlign w:val="center"/>
            <w:tcMar>
              <w:top w:w="80" w:type="dxa"/>
              <w:start w:w="80" w:type="dxa"/>
              <w:bottom w:w="80" w:type="dxa"/>
              <w:end w:w="80" w:type="dxa"/>
            </w:tcMar>
            <w:shd w:fill="D9EAF7" w:val="clear"/>
          </w:tcPr>
          <w:p>
            <w:pPr>
              <w:spacing w:after="0" w:before="0"/>
              <w:jc w:val="left"/>
            </w:pPr>
            <w:r>
              <w:rPr>
                <w:b/>
                <w:sz w:val="17"/>
              </w:rPr>
              <w:t>必须记录的状态/规则</w:t>
            </w:r>
          </w:p>
        </w:tc>
      </w:tr>
      <w:tr>
        <w:trPr>
          <w:cantSplit/>
        </w:trPr>
        <w:tc>
          <w:tcPr>
            <w:tcW w:type="dxa" w:w="2232"/>
            <w:vAlign w:val="center"/>
            <w:tcMar>
              <w:top w:w="80" w:type="dxa"/>
              <w:start w:w="80" w:type="dxa"/>
              <w:bottom w:w="80" w:type="dxa"/>
              <w:end w:w="80" w:type="dxa"/>
            </w:tcMar>
          </w:tcPr>
          <w:p>
            <w:pPr>
              <w:spacing w:after="0" w:before="0"/>
              <w:jc w:val="left"/>
            </w:pPr>
            <w:r>
              <w:rPr>
                <w:b w:val="0"/>
                <w:sz w:val="17"/>
              </w:rPr>
              <w:t>WorkflowStepExecution</w:t>
            </w:r>
          </w:p>
        </w:tc>
        <w:tc>
          <w:tcPr>
            <w:tcW w:type="dxa" w:w="8064"/>
            <w:vAlign w:val="center"/>
            <w:tcMar>
              <w:top w:w="80" w:type="dxa"/>
              <w:start w:w="80" w:type="dxa"/>
              <w:bottom w:w="80" w:type="dxa"/>
              <w:end w:w="80" w:type="dxa"/>
            </w:tcMar>
          </w:tcPr>
          <w:p>
            <w:pPr>
              <w:spacing w:after="0" w:before="0"/>
              <w:jc w:val="left"/>
            </w:pPr>
            <w:r>
              <w:rPr>
                <w:b w:val="0"/>
                <w:sz w:val="17"/>
              </w:rPr>
              <w:t>Pending、Running、Completed、Failed、Paused、Stopped、Unknown；记录大步骤、开始/结束时间、重试次数、失败原因。</w:t>
            </w:r>
          </w:p>
        </w:tc>
      </w:tr>
      <w:tr>
        <w:trPr>
          <w:cantSplit/>
        </w:trPr>
        <w:tc>
          <w:tcPr>
            <w:tcW w:type="dxa" w:w="2232"/>
            <w:vAlign w:val="center"/>
            <w:tcMar>
              <w:top w:w="80" w:type="dxa"/>
              <w:start w:w="80" w:type="dxa"/>
              <w:bottom w:w="80" w:type="dxa"/>
              <w:end w:w="80" w:type="dxa"/>
            </w:tcMar>
          </w:tcPr>
          <w:p>
            <w:pPr>
              <w:spacing w:after="0" w:before="0"/>
              <w:jc w:val="left"/>
            </w:pPr>
            <w:r>
              <w:rPr>
                <w:b w:val="0"/>
                <w:sz w:val="17"/>
              </w:rPr>
              <w:t>DeviceCommandExecution</w:t>
            </w:r>
          </w:p>
        </w:tc>
        <w:tc>
          <w:tcPr>
            <w:tcW w:type="dxa" w:w="8064"/>
            <w:vAlign w:val="center"/>
            <w:tcMar>
              <w:top w:w="80" w:type="dxa"/>
              <w:start w:w="80" w:type="dxa"/>
              <w:bottom w:w="80" w:type="dxa"/>
              <w:end w:w="80" w:type="dxa"/>
            </w:tcMar>
          </w:tcPr>
          <w:p>
            <w:pPr>
              <w:spacing w:after="0" w:before="0"/>
              <w:jc w:val="left"/>
            </w:pPr>
            <w:r>
              <w:rPr>
                <w:b w:val="0"/>
                <w:sz w:val="17"/>
              </w:rPr>
              <w:t>Planned → CommandSent → DeviceAcknowledged → Completed / Failed / Unknown。设备应答成功不等于动作完成；中断时无完成依据的命令必须标记 Unknown。</w:t>
            </w:r>
          </w:p>
        </w:tc>
      </w:tr>
      <w:tr>
        <w:trPr>
          <w:cantSplit/>
        </w:trPr>
        <w:tc>
          <w:tcPr>
            <w:tcW w:type="dxa" w:w="2232"/>
            <w:vAlign w:val="center"/>
            <w:tcMar>
              <w:top w:w="80" w:type="dxa"/>
              <w:start w:w="80" w:type="dxa"/>
              <w:bottom w:w="80" w:type="dxa"/>
              <w:end w:w="80" w:type="dxa"/>
            </w:tcMar>
          </w:tcPr>
          <w:p>
            <w:pPr>
              <w:spacing w:after="0" w:before="0"/>
              <w:jc w:val="left"/>
            </w:pPr>
            <w:r>
              <w:rPr>
                <w:b w:val="0"/>
                <w:sz w:val="17"/>
              </w:rPr>
              <w:t>恢复策略</w:t>
            </w:r>
          </w:p>
        </w:tc>
        <w:tc>
          <w:tcPr>
            <w:tcW w:type="dxa" w:w="8064"/>
            <w:vAlign w:val="center"/>
            <w:tcMar>
              <w:top w:w="80" w:type="dxa"/>
              <w:start w:w="80" w:type="dxa"/>
              <w:bottom w:w="80" w:type="dxa"/>
              <w:end w:w="80" w:type="dxa"/>
            </w:tcMar>
          </w:tcPr>
          <w:p>
            <w:pPr>
              <w:spacing w:after="0" w:before="0"/>
              <w:jc w:val="left"/>
            </w:pPr>
            <w:r>
              <w:rPr>
                <w:b w:val="0"/>
                <w:sz w:val="17"/>
              </w:rPr>
              <w:t>重启后：已完成动作可继续后续步骤；未下发动作可重新安排；已下发但状态不确定的玻片不得自动认定成功，应进入现有“从当前大步骤起点重做”的人工确认流程。</w:t>
            </w:r>
          </w:p>
        </w:tc>
      </w:tr>
      <w:tr>
        <w:trPr>
          <w:cantSplit/>
        </w:trPr>
        <w:tc>
          <w:tcPr>
            <w:tcW w:type="dxa" w:w="2232"/>
            <w:vAlign w:val="center"/>
            <w:tcMar>
              <w:top w:w="80" w:type="dxa"/>
              <w:start w:w="80" w:type="dxa"/>
              <w:bottom w:w="80" w:type="dxa"/>
              <w:end w:w="80" w:type="dxa"/>
            </w:tcMar>
          </w:tcPr>
          <w:p>
            <w:pPr>
              <w:spacing w:after="0" w:before="0"/>
              <w:jc w:val="left"/>
            </w:pPr>
            <w:r>
              <w:rPr>
                <w:b w:val="0"/>
                <w:sz w:val="17"/>
              </w:rPr>
              <w:t>实时数据</w:t>
            </w:r>
          </w:p>
        </w:tc>
        <w:tc>
          <w:tcPr>
            <w:tcW w:type="dxa" w:w="8064"/>
            <w:vAlign w:val="center"/>
            <w:tcMar>
              <w:top w:w="80" w:type="dxa"/>
              <w:start w:w="80" w:type="dxa"/>
              <w:bottom w:w="80" w:type="dxa"/>
              <w:end w:w="80" w:type="dxa"/>
            </w:tcMar>
          </w:tcPr>
          <w:p>
            <w:pPr>
              <w:spacing w:after="0" w:before="0"/>
              <w:jc w:val="left"/>
            </w:pPr>
            <w:r>
              <w:rPr>
                <w:b w:val="0"/>
                <w:sz w:val="17"/>
              </w:rPr>
              <w:t>当前温度、目标温度、开关、当前步骤、连接状态等由内存缓存和 WebSocket 推送；运行中按固定间隔/关键变化写 telemetry，异常立即完整持久化。</w:t>
            </w:r>
          </w:p>
        </w:tc>
      </w:tr>
    </w:tbl>
    <w:p>
      <w:pPr>
        <w:pStyle w:val="Heading2"/>
        <w:spacing w:after="80"/>
      </w:pPr>
      <w:r>
        <w:t>12.8 对页面实现的约束</w:t>
      </w:r>
    </w:p>
    <w:p>
      <w:pPr>
        <w:pStyle w:val="ListBullet"/>
        <w:spacing w:after="40"/>
      </w:pPr>
      <w:r>
        <w:t>页面只能调用后端 API；不得通过浏览器插件、客户端 SQLite、静态 JSON 文件或前端缓存直接读写正式运行数据。</w:t>
      </w:r>
    </w:p>
    <w:p>
      <w:pPr>
        <w:pStyle w:val="ListBullet"/>
        <w:spacing w:after="40"/>
      </w:pPr>
      <w:r/>
      <w:r>
        <w:rPr>
          <w:rFonts w:ascii="Noto Sans CJK SC" w:hAnsi="Noto Sans CJK SC" w:eastAsia="Noto Sans CJK SC"/>
          <w:sz w:val="17"/>
        </w:rPr>
        <w:t>页面首次进入或 SignalR 重连后，应重新调用 GET 读模型接口取得完整快照，再接收实时增量事件。</w:t>
      </w:r>
    </w:p>
    <w:p>
      <w:pPr>
        <w:pStyle w:val="ListBullet"/>
        <w:spacing w:after="40"/>
      </w:pPr>
      <w:r>
        <w:t>任何写操作的按钮应显示后端返回的接受、拒绝、校验失败或执行中状态；按钮禁用时须展示原因。</w:t>
      </w:r>
    </w:p>
    <w:p>
      <w:pPr>
        <w:pStyle w:val="ListBullet"/>
        <w:spacing w:after="40"/>
      </w:pPr>
      <w:r>
        <w:t>实时事件只用于界面刷新，不替代数据库中的正式执行结果、审计记录或设备命令账本。</w:t>
      </w:r>
    </w:p>
    <w:p>
      <w:pPr>
        <w:pStyle w:val="Heading1"/>
        <w:spacing w:before="160" w:after="80"/>
      </w:pPr>
      <w:r>
        <w:rPr>
          <w:rFonts w:ascii="Noto Sans CJK SC" w:hAnsi="Noto Sans CJK SC" w:eastAsia="Noto Sans CJK SC"/>
        </w:rPr>
        <w:t>13. 设备抽象、通信与真实适配</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接口/适配器</w:t>
            </w:r>
          </w:p>
        </w:tc>
        <w:tc>
          <w:tcPr>
            <w:tcW w:type="dxa" w:w="476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上位机最小职责</w:t>
            </w:r>
          </w:p>
        </w:tc>
        <w:tc>
          <w:tcPr>
            <w:tcW w:type="dxa" w:w="260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当前状态</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主控板适配器</w:t>
            </w:r>
          </w:p>
        </w:tc>
        <w:tc>
          <w:tcPr>
            <w:tcW w:type="dxa" w:w="4762"/>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初始化、通道/液位指示灯、4 通道清洗泵（PWM0-3，正/反抽）、4 通道混匀、4 板×4 点温控、洗针相关 IO、排废/排毒、列扫码、液位、蜂鸣器、设备状态与错误。</w:t>
            </w:r>
          </w:p>
        </w:tc>
        <w:tc>
          <w:tcPr>
            <w:tcW w:type="dxa" w:w="2608"/>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主控协议 V1.0.4 已明确 PWM 有符号值和加热板/加热点批量接口；完整列扫码状态报文、错误码和实际安全参数仍待确认。</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温控适配器</w:t>
            </w:r>
          </w:p>
        </w:tc>
        <w:tc>
          <w:tcPr>
            <w:tcW w:type="dxa" w:w="4762"/>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16 Slot 温度设定、启停、实时温度、批量读写、稳定判定、超温/超时/传感器异常。固定映射 A-D→Board0-3、Slot1-4→Point0-3。</w:t>
            </w:r>
          </w:p>
        </w:tc>
        <w:tc>
          <w:tcPr>
            <w:tcW w:type="dxa" w:w="2608"/>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主控协议 V1.0.4 已确认。稳定阈值、升温超时、超温与断电恢复策略仍待联调并配置化。</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制冷适配器</w:t>
            </w:r>
          </w:p>
        </w:tc>
        <w:tc>
          <w:tcPr>
            <w:tcW w:type="dxa" w:w="476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目标温度、开关、实时温度、设备连接与异常。</w:t>
            </w:r>
          </w:p>
        </w:tc>
        <w:tc>
          <w:tcPr>
            <w:tcW w:type="dxa" w:w="260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存在主控与独立制冷两套路径，实际控制归属待确认。</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SOCON 机械臂适配器</w:t>
            </w:r>
          </w:p>
        </w:tc>
        <w:tc>
          <w:tcPr>
            <w:tcW w:type="dxa" w:w="4762"/>
            <w:vAlign w:val="center"/>
            <w:shd w:fill="EDF5FB"/>
            <w:tcBorders>
              <w:top w:val="single" w:sz="2" w:color="D9E2F3"/>
              <w:left w:val="single" w:sz="2" w:color="D9E2F3"/>
              <w:bottom w:val="single" w:sz="2" w:color="D9E2F3"/>
              <w:right w:val="single" w:sz="2" w:color="D9E2F3"/>
            </w:tcBorders>
          </w:tcPr>
          <w:p>
            <w:pPr>
              <w:spacing w:after="0" w:before="0" w:line="240" w:lineRule="auto"/>
            </w:pPr>
            <w:r>
              <w:t>回零、移动、双针（Needle1 为最里面针/原点 (0,0)，Needle2 为 (+25 mm,0)）、液面探测、吸液、加液、进入洗内/外壁位、动作完成/失败。</w:t>
            </w:r>
            <w:r>
              <w:rPr>
                <w:rFonts w:ascii="Noto Sans CJK SC" w:hAnsi="Noto Sans CJK SC" w:eastAsia="Noto Sans CJK SC"/>
                <w:b w:val="0"/>
                <w:sz w:val="17"/>
              </w:rPr>
            </w:r>
          </w:p>
        </w:tc>
        <w:tc>
          <w:tcPr>
            <w:tcW w:type="dxa" w:w="260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SDK 资料已提供；真实节点、拓扑、并行矩阵待联调。</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DCR55 扫码器适配器</w:t>
            </w:r>
          </w:p>
        </w:tc>
        <w:tc>
          <w:tcPr>
            <w:tcW w:type="dxa" w:w="476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样本扫码头触发、读码、错误、超时、配置与 Slot 扫码坐标。</w:t>
            </w:r>
          </w:p>
        </w:tc>
        <w:tc>
          <w:tcPr>
            <w:tcW w:type="dxa" w:w="260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实际 COM/触发/接线待联调。</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LIS SQLite 查询适配器</w:t>
            </w:r>
          </w:p>
        </w:tc>
        <w:tc>
          <w:tcPr>
            <w:tcW w:type="dxa" w:w="476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使用标准化医院码只读、参数化查询 PInfo/PTest，输出候选一抗代码。</w:t>
            </w:r>
          </w:p>
        </w:tc>
        <w:tc>
          <w:tcPr>
            <w:tcW w:type="dxa" w:w="260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Demo 已提供；部署位置与真实样例待确认。</w:t>
            </w:r>
          </w:p>
        </w:tc>
      </w:tr>
    </w:tbl>
    <w:p>
      <w:pPr>
        <w:spacing w:after="0"/>
      </w:pPr>
    </w:p>
    <w:tbl>
      <w:tblPr>
        <w:tblW w:type="auto" w:w="0"/>
        <w:jc w:val="center"/>
        <w:tblLook w:firstColumn="1" w:firstRow="1" w:lastColumn="0" w:lastRow="0" w:noHBand="0" w:noVBand="1" w:val="04A0"/>
      </w:tblPr>
      <w:tblGrid>
        <w:gridCol w:w="10483"/>
      </w:tblGrid>
      <w:tr>
        <w:trPr>
          <w:cantSplit/>
        </w:trPr>
        <w:tc>
          <w:tcPr>
            <w:tcW w:type="dxa" w:w="10483"/>
            <w:shd w:fill="EDF5FB"/>
            <w:tcBorders>
              <w:top w:val="single" w:sz="4" w:color="9CC2E5"/>
              <w:left w:val="single" w:sz="4" w:color="9CC2E5"/>
              <w:bottom w:val="single" w:sz="4" w:color="9CC2E5"/>
              <w:right w:val="single" w:sz="4" w:color="9CC2E5"/>
            </w:tcBorders>
          </w:tcPr>
          <w:p>
            <w:pPr>
              <w:spacing w:before="0" w:after="0"/>
            </w:pPr>
            <w:r>
              <w:rPr>
                <w:rFonts w:ascii="Noto Sans CJK SC" w:hAnsi="Noto Sans CJK SC" w:eastAsia="Noto Sans CJK SC"/>
                <w:b/>
                <w:color w:val="1F4E79"/>
                <w:sz w:val="18"/>
              </w:rPr>
              <w:t>通信推进原则：</w:t>
            </w:r>
            <w:r>
              <w:rPr>
                <w:rFonts w:ascii="Noto Sans CJK SC" w:hAnsi="Noto Sans CJK SC" w:eastAsia="Noto Sans CJK SC"/>
                <w:sz w:val="18"/>
              </w:rPr>
              <w:t>命令“收到/应答成功”不等同于动作执行成功。任务步骤只能在收到动作完成反馈或满足明确状态确认条件后推进。每条关键命令应保存 CommandId、任务/玻片上下文、参数、发起时间、超时、开始、完成/失败反馈和错误码。</w:t>
            </w:r>
          </w:p>
        </w:tc>
      </w:tr>
    </w:tbl>
    <w:p>
      <w:pPr>
        <w:spacing w:after="0"/>
      </w:pPr>
    </w:p>
    <w:p>
      <w:pPr>
        <w:pStyle w:val="Heading1"/>
        <w:spacing w:before="160" w:after="80"/>
      </w:pPr>
      <w:r>
        <w:rPr>
          <w:rFonts w:ascii="Noto Sans CJK SC" w:hAnsi="Noto Sans CJK SC" w:eastAsia="Noto Sans CJK SC"/>
        </w:rPr>
        <w:t>14. Mock 开发、阶段计划与验收</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04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阶段</w:t>
            </w:r>
          </w:p>
        </w:tc>
        <w:tc>
          <w:tcPr>
            <w:tcW w:type="dxa" w:w="4706"/>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交付内容</w:t>
            </w:r>
          </w:p>
        </w:tc>
        <w:tc>
          <w:tcPr>
            <w:tcW w:type="dxa" w:w="289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不依赖的真实信息</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阶段 1：UI 与状态模型</w:t>
            </w:r>
          </w:p>
        </w:tc>
        <w:tc>
          <w:tcPr>
            <w:tcW w:type="dxa" w:w="4706"/>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登录/初始化 Mock、4×4 通道总览、流程确认、5×8 试剂架、启动校验、DAB、告警、运行详情、工程师页面框架。</w:t>
            </w:r>
          </w:p>
        </w:tc>
        <w:tc>
          <w:tcPr>
            <w:tcW w:type="dxa" w:w="289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节点 ID、COM、坐标、温控协议、真实扫码报文。</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阶段 2：Mock 执行闭环</w:t>
            </w:r>
          </w:p>
        </w:tc>
        <w:tc>
          <w:tcPr>
            <w:tcW w:type="dxa" w:w="4706"/>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1 个 HE 通道批次 + 1 个 IHC 通道批次：通道脚本选择、扫码/兼容性确认、试剂校验、模拟加液/清洗/混匀/温控、暂停、整机停止、故障大步骤重做、日志。</w:t>
            </w:r>
          </w:p>
        </w:tc>
        <w:tc>
          <w:tcPr>
            <w:tcW w:type="dxa" w:w="2891"/>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真实硬件连接。</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阶段 3：适配器联调</w:t>
            </w:r>
          </w:p>
        </w:tc>
        <w:tc>
          <w:tcPr>
            <w:tcW w:type="dxa" w:w="4706"/>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替换主控、制冷、SOCON、DCR55、LIS 真实适配器；优先接入主控 V1.0.4 的 16 点温控和双向 PWM 清洗泵，完成干跑。</w:t>
            </w:r>
          </w:p>
        </w:tc>
        <w:tc>
          <w:tcPr>
            <w:tcW w:type="dxa" w:w="289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仅在接口和坐标/安全参数冻结后开展。</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阶段 4：湿实验与性能</w:t>
            </w:r>
          </w:p>
        </w:tc>
        <w:tc>
          <w:tcPr>
            <w:tcW w:type="dxa" w:w="4706"/>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验证体积、时序、洗针、DAB、试剂切换、恢复、性能和审计。</w:t>
            </w:r>
          </w:p>
        </w:tc>
        <w:tc>
          <w:tcPr>
            <w:tcW w:type="dxa" w:w="289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需实验与硬件共同签字。</w:t>
            </w:r>
          </w:p>
        </w:tc>
      </w:tr>
    </w:tbl>
    <w:p>
      <w:pPr>
        <w:spacing w:after="0"/>
      </w:pP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38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验收场景</w:t>
            </w:r>
          </w:p>
        </w:tc>
        <w:tc>
          <w:tcPr>
            <w:tcW w:type="dxa" w:w="7257"/>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通过标准</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IHC 通灵码</w:t>
            </w:r>
          </w:p>
        </w:tc>
        <w:tc>
          <w:tcPr>
            <w:tcW w:type="dxa" w:w="7257"/>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通道已选择 IHC 脚本后，读到 3 位一抗代码并验证与通道脚本映射兼容；兼容才可创建玻片任务，任务继承通道快照。</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医院自由码</w:t>
            </w:r>
          </w:p>
        </w:tc>
        <w:tc>
          <w:tcPr>
            <w:tcW w:type="dxa" w:w="7257"/>
            <w:vAlign w:val="center"/>
            <w:shd w:fill="EDF5FB"/>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标准化后查询 LIS；无结果禁止创建、多结果要求选择最终一抗；系统校验最终一抗与通道脚本兼容。</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HE 手动确认</w:t>
            </w:r>
          </w:p>
        </w:tc>
        <w:tc>
          <w:tcPr>
            <w:tcW w:type="dxa" w:w="7257"/>
            <w:vAlign w:val="center"/>
            <w:shd w:fill="FFFFFF"/>
            <w:tcBorders>
              <w:top w:val="single" w:sz="2" w:color="D9E2F3"/>
              <w:left w:val="single" w:sz="2" w:color="D9E2F3"/>
              <w:bottom w:val="single" w:sz="2" w:color="D9E2F3"/>
              <w:right w:val="single" w:sz="2" w:color="D9E2F3"/>
            </w:tcBorders>
          </w:tcPr>
          <w:p>
            <w:pPr>
              <w:spacing w:after="0"/>
              <w:jc w:val="left"/>
            </w:pPr>
            <w:r/>
            <w:r>
              <w:rPr>
                <w:rFonts w:ascii="Noto Sans CJK SC" w:hAnsi="Noto Sans CJK SC" w:eastAsia="Noto Sans CJK SC"/>
                <w:b w:val="0"/>
                <w:sz w:val="17"/>
              </w:rPr>
              <w:t>先在通道选择已发布 HE 流程；无二维码的 HE 玻片在该通道空闲 Slot 创建并继承通道脚本，参与整机试剂校验。</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试剂校验</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覆盖 EMPTY、INVALID、未知、过期、总余量不足、有效但未使用、跨瓶补足与单瓶耗尽弹窗。</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DAB</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支持 N=1/4/8 的自动计算、位置占用、过期自动重配、8 个位置耗尽后清洗确认。</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暂停/停止/故障</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原子动作完成后暂停/停止；已加液等待恢复后下一步；状态不确定任务从当前大步骤起点重做且有审计。</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工程师模式</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Mock 环境下能完成配置版本、列扫码模拟、坐标/液体类型编辑、模块测试和日志导出；真实模式下能正确锁定危险操作。</w:t>
            </w:r>
          </w:p>
        </w:tc>
      </w:tr>
      <w:tr>
        <w:tc>
          <w:tcPr>
            <w:tcW w:type="dxa" w:w="5241"/>
            <w:vAlign w:val="center"/>
          </w:tcPr>
          <w:p>
            <w:pPr>
              <w:spacing w:after="0" w:before="0"/>
              <w:jc w:val="left"/>
            </w:pPr>
            <w:r/>
            <w:r>
              <w:rPr>
                <w:rFonts w:ascii="Microsoft YaHei" w:hAnsi="Microsoft YaHei" w:eastAsia="Microsoft YaHei"/>
                <w:b w:val="0"/>
                <w:sz w:val="16"/>
              </w:rPr>
              <w:t>温控与双向清洗泵</w:t>
            </w:r>
          </w:p>
        </w:tc>
        <w:tc>
          <w:tcPr>
            <w:tcW w:type="dxa" w:w="5241"/>
            <w:vAlign w:val="center"/>
          </w:tcPr>
          <w:p>
            <w:pPr>
              <w:spacing w:after="0" w:before="0"/>
              <w:jc w:val="left"/>
            </w:pPr>
            <w:r/>
            <w:r>
              <w:rPr>
                <w:rFonts w:ascii="Microsoft YaHei" w:hAnsi="Microsoft YaHei" w:eastAsia="Microsoft YaHei"/>
                <w:b w:val="0"/>
                <w:sz w:val="16"/>
              </w:rPr>
              <w:t>验证 A-D→Board0-3、Slot1-4→Point0-3 映射；可批量读取/设置每板4点目标温度、当前温度与开关。验证 PWM0-3 的 -100~+100、0 停止、正抽/反抽命令和审计日志。</w:t>
            </w:r>
          </w:p>
        </w:tc>
      </w:tr>
    </w:tbl>
    <w:p>
      <w:pPr>
        <w:spacing w:after="0"/>
      </w:pPr>
    </w:p>
    <w:p>
      <w:pPr>
        <w:pStyle w:val="Heading1"/>
        <w:spacing w:before="160" w:after="80"/>
      </w:pPr>
      <w:r>
        <w:rPr>
          <w:rFonts w:ascii="Noto Sans CJK SC" w:hAnsi="Noto Sans CJK SC" w:eastAsia="Noto Sans CJK SC"/>
        </w:rPr>
        <w:t>15. 非功能要求与需求追溯</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类别</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要求</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平台与易用性</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Windows 11、13.3 英寸 1920×1080、Touch First、Kiosk；主要状态和下一步建议清晰可见。</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性能</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单张自动化流程 ≤10 min；16 张满负荷自动化流程 ≤15 min。计时从首个自动化步骤开始至最后一张终洗完成，不包含机器外步骤、人工上样/扫码和卸载。</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可靠性</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进程异常、通信中断或断电后保留恢复所需最小状态和审计；不得把不确定原子动作视为成功。</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安全</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危险动作需权限、二次确认和设备互锁；普通停止不等同硬件急停。</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可维护性</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流程、坐标、液体类型、通讯、试剂目录和映射均配置化、版本化，并可追溯任务所用版本。</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数据与审计</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支持按时间、用户、通道、Slot、玻片码、试剂批号、告警类型查询；导出格式与留存策略由项目/医院在上线前确认。</w:t>
            </w:r>
          </w:p>
        </w:tc>
      </w:tr>
    </w:tbl>
    <w:p>
      <w:pPr>
        <w:spacing w:after="0"/>
      </w:pPr>
    </w:p>
    <w:p>
      <w:pPr>
        <w:spacing w:after="60" w:line="276" w:lineRule="auto"/>
      </w:pPr>
      <w:r>
        <w:rPr>
          <w:rFonts w:ascii="Noto Sans CJK SC" w:hAnsi="Noto Sans CJK SC" w:eastAsia="Noto Sans CJK SC"/>
          <w:sz w:val="19"/>
        </w:rPr>
      </w:r>
      <w:r>
        <w:rPr>
          <w:rFonts w:ascii="Noto Sans CJK SC" w:hAnsi="Noto Sans CJK SC" w:eastAsia="Noto Sans CJK SC"/>
          <w:sz w:val="17"/>
        </w:rPr>
      </w:r>
      <w:r>
        <w:rPr>
          <w:rFonts w:ascii="Noto Sans CJK SC" w:hAnsi="Noto Sans CJK SC" w:eastAsia="Noto Sans CJK SC"/>
          <w:sz w:val="17"/>
        </w:rPr>
        <w:t>配套待确认事项见《全自动冰冻切片染色机_需求待确认事项清单_v2.3》。本 V2.3 已关闭业务 P0；尚未冻结的硬件接口、数据目录、扫码报文和安全参数以该清单为准。</w:t>
      </w:r>
    </w:p>
    <w:p>
      <w:pPr>
        <w:pStyle w:val="Heading1"/>
        <w:spacing w:before="160" w:after="80"/>
      </w:pPr>
      <w:r>
        <w:rPr>
          <w:rFonts w:ascii="Noto Sans CJK SC" w:hAnsi="Noto Sans CJK SC" w:eastAsia="Noto Sans CJK SC"/>
        </w:rPr>
        <w:t>附录 A. 主要参考资料</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45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文件</w:t>
            </w:r>
          </w:p>
        </w:tc>
        <w:tc>
          <w:tcPr>
            <w:tcW w:type="dxa" w:w="510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用途</w:t>
            </w:r>
          </w:p>
        </w:tc>
      </w:tr>
      <w:tr>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软件需求说明书更新_20260618.doc / 实验步骤.docx</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原始业务、工程页面和 IHC 实验流程依据。</w:t>
            </w:r>
          </w:p>
        </w:tc>
      </w:tr>
      <w:tr>
        <w:tc>
          <w:tcPr>
            <w:tcW w:type="dxa" w:w="4535"/>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冰免通讯协议-主控板-ver1.0.0.pdf / 冰免通讯协议ver1.0.1.pdf / 冰免通讯协议1.0.4.pdf</w:t>
            </w:r>
          </w:p>
        </w:tc>
        <w:tc>
          <w:tcPr>
            <w:tcW w:type="dxa" w:w="5102"/>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主控、清洗、混匀、扫码、液位、IO/PWM 与 4 板×4 点温控接口依据；V1.0.4 已明确 PWM 正/反抽和加热板批量接口。</w:t>
            </w:r>
          </w:p>
        </w:tc>
      </w:tr>
      <w:tr>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冰免条码使用说明.pdf</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Code 128 条码、玻片二维码与 LIS 规则。</w:t>
            </w:r>
          </w:p>
        </w:tc>
      </w:tr>
      <w:tr>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2026通灵一类产品仪器代码 2026.05.11最新.xlsx</w:t>
            </w:r>
          </w:p>
        </w:tc>
        <w:tc>
          <w:tcPr>
            <w:tcW w:type="dxa" w:w="510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一抗等代码、名称、保质期目录来源。</w:t>
            </w:r>
          </w:p>
        </w:tc>
      </w:tr>
      <w:tr>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ZeJianSqliteTestDemo.zip</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医院自由二维码查询 SQLite 示例。</w:t>
            </w:r>
          </w:p>
        </w:tc>
      </w:tr>
      <w:tr>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SOCON / DCR55 / 制冷资料</w:t>
            </w:r>
          </w:p>
        </w:tc>
        <w:tc>
          <w:tcPr>
            <w:tcW w:type="dxa" w:w="510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机械臂、扫码、制冷接口与联调依据。</w:t>
            </w:r>
          </w:p>
        </w:tc>
      </w:tr>
      <w:tr>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方案单臂双针-位置.pdf、电子元器件及功能.png、管路示意图.png</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平面布局、坐标预设、双针、洗针/配液区、四通道模块与管路映射依据。</w:t>
            </w:r>
          </w:p>
        </w:tc>
      </w:tr>
    </w:tbl>
    <w:p>
      <w:pPr>
        <w:spacing w:after="0"/>
      </w:pPr>
    </w:p>
    <w:p>
      <w:pPr>
        <w:pStyle w:val="Heading1"/>
        <w:spacing w:before="160" w:after="80"/>
      </w:pPr>
      <w:r>
        <w:rPr>
          <w:rFonts w:ascii="Noto Sans CJK SC" w:hAnsi="Noto Sans CJK SC" w:eastAsia="Noto Sans CJK SC"/>
        </w:rPr>
        <w:t>附录 B. 平面布局、电子模块与管路参考图</w:t>
      </w:r>
    </w:p>
    <w:p>
      <w:pPr>
        <w:spacing w:after="60" w:line="276" w:lineRule="auto"/>
      </w:pPr>
      <w:r>
        <w:rPr>
          <w:rFonts w:ascii="Noto Sans CJK SC" w:hAnsi="Noto Sans CJK SC" w:eastAsia="Noto Sans CJK SC"/>
          <w:sz w:val="19"/>
        </w:rPr>
      </w:r>
      <w:r>
        <w:rPr>
          <w:rFonts w:ascii="Noto Sans CJK SC" w:hAnsi="Noto Sans CJK SC" w:eastAsia="Noto Sans CJK SC"/>
          <w:sz w:val="17"/>
        </w:rPr>
        <w:t>以下图纸作为本 V2.3 物理布局、坐标预设和工程师调试页面的参考来源。最新版《方案单臂双针 -位置》以“原点（最里面针）”作为机械 XY 原点，并规定另一根针位于 X 正方向 +25 mm。图纸提供名义位置关系；真实设备执行前仍必须完成每个 TargetPoint 的独立标定和安全验证。</w:t>
      </w:r>
    </w:p>
    <w:p>
      <w:pPr>
        <w:spacing w:after="40"/>
        <w:jc w:val="center"/>
      </w:pPr>
      <w:r>
        <w:drawing>
          <wp:inline xmlns:a="http://schemas.openxmlformats.org/drawingml/2006/main" xmlns:pic="http://schemas.openxmlformats.org/drawingml/2006/picture">
            <wp:extent cx="5832000" cy="4125343"/>
            <wp:docPr id="1" name="Picture 1"/>
            <wp:cNvGraphicFramePr>
              <a:graphicFrameLocks noChangeAspect="1"/>
            </wp:cNvGraphicFramePr>
            <a:graphic>
              <a:graphicData uri="http://schemas.openxmlformats.org/drawingml/2006/picture">
                <pic:pic>
                  <pic:nvPicPr>
                    <pic:cNvPr id="0" name="layout-1.png"/>
                    <pic:cNvPicPr/>
                  </pic:nvPicPr>
                  <pic:blipFill>
                    <a:blip r:embed="rId11"/>
                    <a:stretch>
                      <a:fillRect/>
                    </a:stretch>
                  </pic:blipFill>
                  <pic:spPr>
                    <a:xfrm>
                      <a:off x="0" y="0"/>
                      <a:ext cx="5832000" cy="4125343"/>
                    </a:xfrm>
                    <a:prstGeom prst="rect"/>
                  </pic:spPr>
                </pic:pic>
              </a:graphicData>
            </a:graphic>
          </wp:inline>
        </w:drawing>
      </w:r>
    </w:p>
    <w:p>
      <w:pPr>
        <w:spacing w:after="100"/>
        <w:jc w:val="center"/>
      </w:pPr>
      <w:r>
        <w:rPr>
          <w:rFonts w:ascii="Noto Sans CJK SC" w:hAnsi="Noto Sans CJK SC" w:eastAsia="Noto Sans CJK SC"/>
          <w:color w:val="5A5A5A"/>
          <w:sz w:val="17"/>
        </w:rPr>
        <w:t>图 B-1 单臂双针位置与试剂区/样本区平面布局（最新版；以“最里面针”为原点，单位 mm）</w:t>
      </w:r>
    </w:p>
    <w:p>
      <w:pPr>
        <w:spacing w:after="40"/>
        <w:jc w:val="center"/>
      </w:pPr>
      <w:r>
        <w:drawing>
          <wp:inline xmlns:a="http://schemas.openxmlformats.org/drawingml/2006/main" xmlns:pic="http://schemas.openxmlformats.org/drawingml/2006/picture">
            <wp:extent cx="5832000" cy="3274258"/>
            <wp:docPr id="2" name="Picture 2"/>
            <wp:cNvGraphicFramePr>
              <a:graphicFrameLocks noChangeAspect="1"/>
            </wp:cNvGraphicFramePr>
            <a:graphic>
              <a:graphicData uri="http://schemas.openxmlformats.org/drawingml/2006/picture">
                <pic:pic>
                  <pic:nvPicPr>
                    <pic:cNvPr id="0" name="电子元器件及功能.png"/>
                    <pic:cNvPicPr/>
                  </pic:nvPicPr>
                  <pic:blipFill>
                    <a:blip r:embed="rId12"/>
                    <a:stretch>
                      <a:fillRect/>
                    </a:stretch>
                  </pic:blipFill>
                  <pic:spPr>
                    <a:xfrm>
                      <a:off x="0" y="0"/>
                      <a:ext cx="5832000" cy="3274258"/>
                    </a:xfrm>
                    <a:prstGeom prst="rect"/>
                  </pic:spPr>
                </pic:pic>
              </a:graphicData>
            </a:graphic>
          </wp:inline>
        </w:drawing>
      </w:r>
    </w:p>
    <w:p>
      <w:pPr>
        <w:spacing w:after="100"/>
        <w:jc w:val="center"/>
      </w:pPr>
      <w:r>
        <w:rPr>
          <w:rFonts w:ascii="Noto Sans CJK SC" w:hAnsi="Noto Sans CJK SC" w:eastAsia="Noto Sans CJK SC"/>
          <w:color w:val="5A5A5A"/>
          <w:sz w:val="17"/>
        </w:rPr>
        <w:t>图 B-2 电子元器件、四通道清洗/混匀、双针与扫码模块示意</w:t>
      </w:r>
    </w:p>
    <w:p>
      <w:pPr>
        <w:spacing w:after="40"/>
        <w:jc w:val="center"/>
      </w:pPr>
      <w:r>
        <w:drawing>
          <wp:inline xmlns:a="http://schemas.openxmlformats.org/drawingml/2006/main" xmlns:pic="http://schemas.openxmlformats.org/drawingml/2006/picture">
            <wp:extent cx="5832000" cy="3265053"/>
            <wp:docPr id="3" name="Picture 3"/>
            <wp:cNvGraphicFramePr>
              <a:graphicFrameLocks noChangeAspect="1"/>
            </wp:cNvGraphicFramePr>
            <a:graphic>
              <a:graphicData uri="http://schemas.openxmlformats.org/drawingml/2006/picture">
                <pic:pic>
                  <pic:nvPicPr>
                    <pic:cNvPr id="0" name="管路示意图.png"/>
                    <pic:cNvPicPr/>
                  </pic:nvPicPr>
                  <pic:blipFill>
                    <a:blip r:embed="rId13"/>
                    <a:stretch>
                      <a:fillRect/>
                    </a:stretch>
                  </pic:blipFill>
                  <pic:spPr>
                    <a:xfrm>
                      <a:off x="0" y="0"/>
                      <a:ext cx="5832000" cy="3265053"/>
                    </a:xfrm>
                    <a:prstGeom prst="rect"/>
                  </pic:spPr>
                </pic:pic>
              </a:graphicData>
            </a:graphic>
          </wp:inline>
        </w:drawing>
      </w:r>
    </w:p>
    <w:p>
      <w:pPr>
        <w:spacing w:after="100"/>
        <w:jc w:val="center"/>
      </w:pPr>
      <w:r>
        <w:rPr>
          <w:rFonts w:ascii="Noto Sans CJK SC" w:hAnsi="Noto Sans CJK SC" w:eastAsia="Noto Sans CJK SC"/>
          <w:color w:val="5A5A5A"/>
          <w:sz w:val="17"/>
        </w:rPr>
        <w:t>图 B-3 清洗、PBS、排废/排毒与液位检测管路示意</w:t>
      </w:r>
    </w:p>
    <w:sectPr w:rsidR="00FC693F" w:rsidRPr="0006063C" w:rsidSect="00034616">
      <w:headerReference w:type="default" r:id="rId9"/>
      <w:footerReference w:type="default" r:id="rId10"/>
      <w:pgSz w:w="12240" w:h="15840"/>
      <w:pgMar w:top="879" w:right="822" w:bottom="765" w:left="93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olor w:val="6B6B6B"/>
        <w:sz w:val="16"/>
      </w:rPr>
      <w:t xml:space="preserve">项目内部需求基线  |  第 </w:t>
    </w:r>
    <w:r>
      <w:fldChar w:fldCharType="begin"/>
      <w:instrText xml:space="preserve">PAGE</w:instrText>
      <w:fldChar w:fldCharType="end"/>
    </w:r>
    <w:r>
      <w:rPr>
        <w:rFonts w:ascii="Noto Sans CJK SC" w:hAnsi="Noto Sans CJK SC" w:eastAsia="Noto Sans CJK SC"/>
        <w:color w:val="6B6B6B"/>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sz w:val="17"/>
      </w:rPr>
      <w:t>全自动冰冻切片染色机上位机软件需求规格说明书  |  V2.3</w:t>
    </w:r>
    <w:r>
      <w:rPr>
        <w:rFonts w:ascii="Noto Sans CJK SC" w:hAnsi="Noto Sans CJK SC" w:eastAsia="Noto Sans CJK SC"/>
        <w:color w:val="6B6B6B"/>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CJK SC" w:hAnsi="Noto Sans CJK SC" w:eastAsia="Noto Sans CJK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全自动冰冻切片染色机上位机软件需求规格说明书（完整修订版 V2.2）</dc:title>
  <dc:subject>纳入最新单臂双针坐标原点与针间距映射</dc:subject>
  <dc:creator>python-docx</dc:creator>
  <cp:keywords/>
  <dc:description>V2.1: 增补网页架构、API/WS 传输、SQLite 数据模型、版本快照与执行恢复账本。</dc:description>
  <cp:lastModifiedBy/>
  <cp:revision>1</cp:revision>
  <dcterms:created xsi:type="dcterms:W3CDTF">2013-12-23T23:15:00Z</dcterms:created>
  <dcterms:modified xsi:type="dcterms:W3CDTF">2026-06-24T00:00:00Z</dcterms:modified>
  <cp:category/>
</cp:coreProperties>
</file>