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 w:line="360" w:lineRule="auto"/>
      </w:pPr>
      <w:r>
        <w:rPr>
          <w:b/>
          <w:sz w:val="36"/>
          <w:szCs w:val="36"/>
          <w:rFonts w:ascii="宋体" w:hAnsi="宋体" w:eastAsia="宋体"/>
        </w:rPr>
        <w:t xml:space="preserve">江洲市供电公司缺陷管理办法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江洲供电〔2026〕12号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为统一城东、临江、高新及江洲变缺陷从发现到验收的闭环，制定本办法。本办法适用于公司所属变电、输电、配电设备。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第一条 缺陷分级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危急缺陷：设备已丧失或即将丧失主要功能，或存在人身、电网、设备事故风险，须立即汇报调度并组织处理。电缆头绝对温度达到90℃，或相对温差达到35%，按危急缺陷。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严重缺陷：设备可以短期运行，但必须在一个检修周期内消除。主变负载率连续2小时达到100%而冷却和负荷调整仍不能恢复时，按严重缺陷跟踪。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一般缺陷：不影响当前安全运行，可列入月度或季度检修计划。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第二条 填报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运维班发现缺陷后，当日在生产系统登记编号、设备双重名称、发现时间、测温或试验数据、初步定级和临时措施。城东Ⅰ回一类馈线缺陷同时通知配网调度。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第三条 处理与验收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危急缺陷由运维部组织当天处理，不能当场消除的须有调度批准的临时运行方式。处理完毕后由发现班组验收，验收记录写明温度、负荷和试验结论。未验收不得销号。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第四条 统计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运维部按月统计重复缺陷和超期缺陷。同一设备90日内同类缺陷再次出现，升级管理并在月度生产例会上说明。</w:t>
      </w:r>
    </w:p>
    <w:sectPr>
      <w:pgSz w:w="11906" w:h="16838"/>
      <w:pgMar w:top="1440" w:right="1440" w:bottom="1440" w:left="1440"/>
    </w:sectPr>
  </w:body>
</w:document>
</file>