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360" w:after="180"/>
      </w:pPr>
      <w:r>
        <w:rPr>
          <w:rFonts w:ascii="Arial" w:hAnsi="Arial" w:eastAsia="Arial" w:cs="Arial"/>
          <w:b/>
          <w:bCs/>
          <w:color w:val="1F4E79"/>
          <w:sz w:val="36"/>
          <w:szCs w:val="36"/>
        </w:rPr>
        <w:t>3. Data Preparation and Feature Engineering</w:t>
      </w:r>
    </w:p>
    <w:p>
      <w:pPr>
        <w:pBdr>
          <w:bottom w:val="single" w:color="2E75B6" w:sz="4" w:space="1"/>
        </w:pBdr>
        <w:spacing w:after="200"/>
      </w:pPr>
    </w:p>
    <w:p>
      <w:pPr>
        <w:pStyle w:val="3"/>
        <w:spacing w:before="240" w:after="120"/>
      </w:pPr>
      <w:bookmarkStart w:id="0" w:name="_GoBack"/>
      <w:bookmarkEnd w:id="0"/>
      <w:r>
        <w:rPr>
          <w:rFonts w:ascii="Arial" w:hAnsi="Arial" w:eastAsia="Arial" w:cs="Arial"/>
          <w:b/>
          <w:bCs/>
          <w:color w:val="2E75B6"/>
          <w:sz w:val="26"/>
          <w:szCs w:val="26"/>
        </w:rPr>
        <w:t>3.2 Feature Engineering</w:t>
      </w:r>
    </w:p>
    <w:p>
      <w:pPr>
        <w:spacing w:after="240" w:line="480" w:lineRule="auto"/>
        <w:jc w:val="both"/>
      </w:pPr>
      <w:r>
        <w:rPr>
          <w:rFonts w:ascii="Arial" w:hAnsi="Arial" w:eastAsia="Arial" w:cs="Arial"/>
          <w:color w:val="111111"/>
          <w:sz w:val="24"/>
          <w:szCs w:val="24"/>
        </w:rPr>
        <w:t>Six new features were constructed to enrich the predictive signal available to the models. Two aggregation features, total_minutes and total_charges, were created by summing usage and billing records across all four calling periods, providing a holistic measure of overall customer engagement and spend. A binary flag, high_service_calls, was set to one for customers with three or more customer service calls, encoding a well-established domain knowledge threshold: repeated service interactions are a strong precursor to churn, as they indicate unresolved dissatisfaction. The feature intl_usage_ratio expresses international calling minutes as a proportion of total minutes, capturing whether a customer's usage is disproportionately international rather than simply measuring raw international volume. Finally, the continuous Account length variable was discretized into three tenure groups — new (zero to fifty days), mid (51 to 150 days), and long (above 150 days) — and one-hot encoded into two binary indicators with the new-customer group as the reference category. This binning captures the non-linear relationship between tenure and churn risk that a linear treatment of the raw variable would obscure.</w:t>
      </w:r>
    </w:p>
    <w:p>
      <w:pPr>
        <w:pStyle w:val="3"/>
        <w:spacing w:before="240" w:after="120"/>
      </w:pPr>
      <w:r>
        <w:rPr>
          <w:rFonts w:ascii="Arial" w:hAnsi="Arial" w:eastAsia="Arial" w:cs="Arial"/>
          <w:b/>
          <w:bCs/>
          <w:color w:val="2E75B6"/>
          <w:sz w:val="26"/>
          <w:szCs w:val="26"/>
        </w:rPr>
        <w:t>3.3 Train/Test Split, Scaling, and Class Imbalance</w:t>
      </w:r>
    </w:p>
    <w:p>
      <w:pPr>
        <w:spacing w:after="240" w:line="480" w:lineRule="auto"/>
        <w:jc w:val="both"/>
      </w:pPr>
      <w:r>
        <w:rPr>
          <w:rFonts w:ascii="Arial" w:hAnsi="Arial" w:eastAsia="Arial" w:cs="Arial"/>
          <w:color w:val="111111"/>
          <w:sz w:val="24"/>
          <w:szCs w:val="24"/>
        </w:rPr>
        <w:t>The dataset was partitioned into a training set of 2,132 records and a test set of 534 records using an 80/20 stratified split with random seed 42, preserving the 14.55 percent churn rate in both partitions. The train/test split was performed before any scaling or resampling to prevent data leakage. All numeric features were then standardized using scikit-learn's StandardScaler, fit exclusively on the training data and applied as a read-only transformation to the test set; the fitted scaler was serialized to models/scaler.pkl for use at inference time. Because the 14.55 percent churn rate biases uncorrected classifiers toward the majority class, Synthetic Minority Over-sampling Technique (SMOTE) was applied to the training set after scaling, synthesizing new minority-class observations by interpolating between existing churned customers in feature space. This produced a balanced training distribution of 1,822 records per class. The test set was left untouched throughout, retaining the real-world class distribution for an honest out-of-sample evaluation. The final modeling-ready feature matrix contains 23 features.</w:t>
      </w:r>
    </w:p>
    <w:p>
      <w:r>
        <w:br w:type="page"/>
      </w:r>
    </w:p>
    <w:p>
      <w:pPr>
        <w:pStyle w:val="2"/>
        <w:spacing w:before="360" w:after="180"/>
      </w:pPr>
      <w:r>
        <w:rPr>
          <w:rFonts w:ascii="Arial" w:hAnsi="Arial" w:eastAsia="Arial" w:cs="Arial"/>
          <w:b/>
          <w:bCs/>
          <w:color w:val="1F4E79"/>
          <w:sz w:val="36"/>
          <w:szCs w:val="36"/>
        </w:rPr>
        <w:t>4. Model Development: Logistic Regression</w:t>
      </w:r>
    </w:p>
    <w:p>
      <w:pPr>
        <w:pBdr>
          <w:bottom w:val="single" w:color="2E75B6" w:sz="4" w:space="1"/>
        </w:pBdr>
        <w:spacing w:after="200"/>
      </w:pPr>
    </w:p>
    <w:p>
      <w:pPr>
        <w:pStyle w:val="3"/>
        <w:spacing w:before="240" w:after="120"/>
      </w:pPr>
      <w:r>
        <w:rPr>
          <w:rFonts w:ascii="Arial" w:hAnsi="Arial" w:eastAsia="Arial" w:cs="Arial"/>
          <w:b/>
          <w:bCs/>
          <w:color w:val="2E75B6"/>
          <w:sz w:val="26"/>
          <w:szCs w:val="26"/>
        </w:rPr>
        <w:t>4.1 Model Configuration and Rationale</w:t>
      </w:r>
    </w:p>
    <w:p>
      <w:pPr>
        <w:spacing w:after="240" w:line="480" w:lineRule="auto"/>
        <w:jc w:val="both"/>
      </w:pPr>
      <w:r>
        <w:rPr>
          <w:rFonts w:ascii="Arial" w:hAnsi="Arial" w:eastAsia="Arial" w:cs="Arial"/>
          <w:color w:val="111111"/>
          <w:sz w:val="24"/>
          <w:szCs w:val="24"/>
        </w:rPr>
        <w:t>Logistic regression was selected as the interpretable baseline model for this project. As a generalized linear classifier, it estimates churn probability as a logistic function of a weighted sum of input features, and its coefficients carry a direct interpretation as changes in the log-odds of churn per unit increase in each standardized feature. This transparency makes logistic regression particularly valuable in an executive stakeholder context where communicating the drivers of a prediction is as important as the prediction itself. The model was implemented using scikit-learn's LogisticRegression estimator with L2 regularization and the lbfgs solver. The class_weight parameter was set to 'balanced', which penalizes misclassification of churned customers approximately 5.86 times more heavily than misclassification of retained customers during optimization. This configuration reflects the asymmetric cost structure of the problem: a missed churner represents a direct revenue loss, while an unnecessary retention outreach incurs only a modest operational cost.</w:t>
      </w:r>
    </w:p>
    <w:p>
      <w:pPr>
        <w:pStyle w:val="3"/>
        <w:spacing w:before="240" w:after="120"/>
      </w:pPr>
      <w:r>
        <w:rPr>
          <w:rFonts w:ascii="Arial" w:hAnsi="Arial" w:eastAsia="Arial" w:cs="Arial"/>
          <w:b/>
          <w:bCs/>
          <w:color w:val="2E75B6"/>
          <w:sz w:val="26"/>
          <w:szCs w:val="26"/>
        </w:rPr>
        <w:t>4.2 Evaluation Results</w:t>
      </w:r>
    </w:p>
    <w:p>
      <w:pPr>
        <w:spacing w:after="240" w:line="480" w:lineRule="auto"/>
        <w:jc w:val="both"/>
      </w:pPr>
      <w:r>
        <w:rPr>
          <w:rFonts w:ascii="Arial" w:hAnsi="Arial" w:eastAsia="Arial" w:cs="Arial"/>
          <w:color w:val="111111"/>
          <w:sz w:val="24"/>
          <w:szCs w:val="24"/>
        </w:rPr>
        <w:t>The model was trained on the SMOTE-balanced training set and evaluated on the held-out test set of 534 records. It achieved an AUC-ROC of 0.7638, meaning it correctly ranks a randomly selected churned customer above a randomly selected retained customer in approximately 76.4 percent of cases, well above the 0.50 random baseline. Recall on the churn class was 69.23 percent, indicating that the model identified approximately seven in ten customers who would go on to churn. Overall accuracy was 76.59 percent, and the F1-score for the churn class was 0.4635, reflecting the deliberate precision-recall trade-off introduced by the balanced class weighting. On the held-out test set, the model produced 54 true positives, 24 false negatives, 355 true negatives, and 101 false positives.</w:t>
      </w:r>
    </w:p>
    <w:p>
      <w:pPr>
        <w:pStyle w:val="3"/>
        <w:spacing w:before="240" w:after="120"/>
      </w:pPr>
      <w:r>
        <w:rPr>
          <w:rFonts w:ascii="Arial" w:hAnsi="Arial" w:eastAsia="Arial" w:cs="Arial"/>
          <w:b/>
          <w:bCs/>
          <w:color w:val="2E75B6"/>
          <w:sz w:val="26"/>
          <w:szCs w:val="26"/>
        </w:rPr>
        <w:t>4.3 Feature Coefficients and Business Implications</w:t>
      </w:r>
    </w:p>
    <w:p>
      <w:pPr>
        <w:spacing w:after="240" w:line="480" w:lineRule="auto"/>
        <w:jc w:val="both"/>
      </w:pPr>
      <w:r>
        <w:rPr>
          <w:rFonts w:ascii="Arial" w:hAnsi="Arial" w:eastAsia="Arial" w:cs="Arial"/>
          <w:color w:val="111111"/>
          <w:sz w:val="24"/>
          <w:szCs w:val="24"/>
        </w:rPr>
        <w:t>The trained coefficient vector identifies the primary behavioral drivers of churn. The strongest positive predictor is intl_usage_ratio at +1.482, indicating that customers whose usage is disproportionately international represent the highest-risk segment, likely because they are sensitive to international plan pricing and are actively comparing alternative providers. Customer service calls carries a coefficient of +0.811, confirming that repeated unresolved service interactions are a strong operational signal of impending churn. International plan subscription contributes +0.802, reinforcing that enrolled customers are dissatisfied with the current plan structure. Higher total usage and total charges also positively predict churn, consistent with the well-documented finding that high-spend customers are more financially motivated to seek better rates. On the protective side, Voice mail plan subscription carries a coefficient of −0.558, suggesting that bundled service customers face higher switching costs and are significantly less likely to leave. These findings point to three actionable retention priorities: targeted plan restructuring for international plan customers, automatic escalation workflows triggered at three or more service calls, and proactive voicemail plan cross-selling to high-risk accounts.</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Arial" w:hAnsi="Arial" w:eastAsia="Arial" w:cs="Arial"/>
        <w:color w:val="888888"/>
        <w:sz w:val="18"/>
        <w:szCs w:val="18"/>
      </w:rPr>
      <w:t xml:space="preserve">Customer Churn Prediction — Group 5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isplayBackgroundShape w:val="1"/>
  <w:documentProtection w:enforcement="0"/>
  <w:compat>
    <w:useFELayout/>
    <w:compatSetting w:name="compatibilityMode" w:uri="http://schemas.microsoft.com/office/word" w:val="15"/>
  </w:compat>
  <w:rsids>
    <w:rsidRoot w:val="00000000"/>
    <w:rsid w:val="3FDF6B6E"/>
    <w:rsid w:val="477EB009"/>
    <w:rsid w:val="F6FFDC00"/>
    <w:rsid w:val="FFE2FF86"/>
    <w:rsid w:val="FFEE96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4"/>
      <w:szCs w:val="24"/>
    </w:rPr>
  </w:style>
  <w:style w:type="paragraph" w:styleId="2">
    <w:name w:val="heading 1"/>
    <w:next w:val="1"/>
    <w:qFormat/>
    <w:uiPriority w:val="0"/>
    <w:pPr>
      <w:spacing w:before="360" w:after="180"/>
      <w:outlineLvl w:val="0"/>
    </w:pPr>
    <w:rPr>
      <w:rFonts w:ascii="Arial" w:hAnsi="Arial" w:eastAsia="Arial" w:cs="Arial"/>
      <w:b/>
      <w:bCs/>
      <w:color w:val="1F4E79"/>
      <w:sz w:val="36"/>
      <w:szCs w:val="36"/>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Arial" w:hAnsi="Arial" w:eastAsia="Arial" w:cs="Arial"/>
      <w:sz w:val="20"/>
      <w:szCs w:val="20"/>
    </w:rPr>
  </w:style>
  <w:style w:type="paragraph" w:styleId="9">
    <w:name w:val="Title"/>
    <w:qFormat/>
    <w:uiPriority w:val="0"/>
    <w:rPr>
      <w:rFonts w:ascii="Arial" w:hAnsi="Arial" w:eastAsia="Arial" w:cs="Arial"/>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Office_6.5.2.8766_F1E327BC-269C-435d-A152-05C5408002CA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小于</cp:lastModifiedBy>
  <dcterms:modified xsi:type="dcterms:W3CDTF">2026-03-14T23:02:52Z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6A4AB322E2C350DD9C78B569D2AAE2DD_43</vt:lpwstr>
  </property>
</Properties>
</file>