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季度报告 Q3</w:t>
      </w:r>
    </w:p>
    <w:p>
      <w:r>
        <w:t>普通文字，</w:t>
      </w:r>
      <w:r>
        <w:rPr>
          <w:b/>
        </w:rPr>
        <w:t>加粗</w:t>
      </w:r>
      <w:r>
        <w:t xml:space="preserve"> 和 </w:t>
      </w:r>
      <w:r>
        <w:rPr>
          <w:i/>
        </w:rPr>
        <w:t>斜体</w:t>
      </w:r>
    </w:p>
    <w:p>
      <w:pPr>
        <w:pStyle w:val="ListBullet"/>
      </w:pPr>
      <w:r>
        <w:t>第一项</w:t>
      </w:r>
    </w:p>
    <w:p>
      <w:pPr>
        <w:pStyle w:val="Heading2"/>
      </w:pPr>
      <w:r>
        <w:t>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名称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苹果 &amp; 梨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