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外部审稿意见原文-2026-10-24"/>
    <w:p>
      <w:pPr>
        <w:pStyle w:val="Heading1"/>
      </w:pPr>
      <w:r>
        <w:t xml:space="preserve">外部审稿意见原文 · 2026-10-24</w:t>
      </w:r>
    </w:p>
    <w:p>
      <w:pPr>
        <w:pStyle w:val="BlockText"/>
      </w:pPr>
      <w:r>
        <w:t xml:space="preserve">来源：用户从外部评审（GPT6astra）取得后粘回「进度问题汇总」会话的附件。</w:t>
      </w:r>
      <w:r>
        <w:t xml:space="preserve"> </w:t>
      </w:r>
      <w:r>
        <w:t xml:space="preserve">原始载体：drive</w:t>
      </w:r>
      <w:r>
        <w:t xml:space="preserve"> </w:t>
      </w:r>
      <w:r>
        <w:rPr>
          <w:rStyle w:val="VerbatimChar"/>
        </w:rPr>
        <w:t xml:space="preserve">pasted-text.txt</w:t>
      </w:r>
      <w:r>
        <w:t xml:space="preserve">（node 455845867716793，session 455713761698250，18460 字节 / 394 行）。</w:t>
      </w:r>
      <w:r>
        <w:t xml:space="preserve"> </w:t>
      </w:r>
      <w:r>
        <w:t xml:space="preserve">本文件为</w:t>
      </w:r>
      <w:r>
        <w:rPr>
          <w:bCs/>
          <w:b/>
        </w:rPr>
        <w:t xml:space="preserve">逐字存档</w:t>
      </w:r>
      <w:r>
        <w:t xml:space="preserve">，供改稿时回源核对，不做任何删改。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我会按正式学术审稿人的标准评审，而不是帮你润色到"看起来像论文"。我会重点判断：研究问题是否成立、实验是否真正支持结论、统计推断是否可靠、文献是否准确，以及这篇论文目前是否达到可以投稿的程度。从稿件现有内容看，我认为最值得审查的不是你的研究动机，而是一个更根本的问题：你已经非常重视可证伪性与测量效度，但论文自身的核心指标、实验设计和结论之间，是否也经得起同样严格的审计？</w:t>
      </w:r>
    </w:p>
    <w:bookmarkStart w:id="21" w:name="审稿意见"/>
    <w:p>
      <w:pPr>
        <w:pStyle w:val="Heading2"/>
      </w:pPr>
      <w:r>
        <w:t xml:space="preserve">审稿意见</w:t>
      </w:r>
    </w:p>
    <w:bookmarkStart w:id="20" w:name="总体审稿结论"/>
    <w:p>
      <w:pPr>
        <w:pStyle w:val="Heading3"/>
      </w:pPr>
      <w:r>
        <w:t xml:space="preserve">总体审稿结论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大修后重新审稿（Major Revision）</w:t>
      </w:r>
    </w:p>
    <w:p>
      <w:pPr>
        <w:numPr>
          <w:ilvl w:val="0"/>
          <w:numId w:val="1001"/>
        </w:numPr>
        <w:pStyle w:val="Compact"/>
      </w:pPr>
      <w:r>
        <w:t xml:space="preserve">研究问题有价值</w:t>
      </w:r>
    </w:p>
    <w:p>
      <w:pPr>
        <w:numPr>
          <w:ilvl w:val="0"/>
          <w:numId w:val="1001"/>
        </w:numPr>
        <w:pStyle w:val="Compact"/>
      </w:pPr>
      <w:r>
        <w:t xml:space="preserve">核心论证需收紧</w:t>
      </w:r>
    </w:p>
    <w:p>
      <w:pPr>
        <w:numPr>
          <w:ilvl w:val="0"/>
          <w:numId w:val="1001"/>
        </w:numPr>
        <w:pStyle w:val="Compact"/>
      </w:pPr>
      <w:r>
        <w:t xml:space="preserve">目前不建议直接投稿</w:t>
      </w:r>
    </w:p>
    <w:p>
      <w:pPr>
        <w:pStyle w:val="FirstParagraph"/>
      </w:pPr>
      <w:r>
        <w:t xml:space="preserve">这份文件不是一篇单独的论文，而是包含四篇相互关联的稿件。我将它们分别审查，同时评价它们能否组成一个可信的研究系列。我的核心判断是：你最有潜力的贡献不是已经找到了 LLM 创造力问题的根本原因，而是你正在建立一套能够识别研究结论何时不可信的实验方法。前者目前证据不足，后者更接近这批研究实际能够支撑的贡献。</w:t>
      </w:r>
    </w:p>
    <w:bookmarkEnd w:id="20"/>
    <w:bookmarkEnd w:id="21"/>
    <w:bookmarkStart w:id="22" w:name="一总体评分"/>
    <w:p>
      <w:pPr>
        <w:pStyle w:val="Heading2"/>
      </w:pPr>
      <w:r>
        <w:t xml:space="preserve">一、总体评分</w:t>
      </w:r>
    </w:p>
    <w:p>
      <w:pPr>
        <w:pStyle w:val="FirstParagraph"/>
      </w:pPr>
      <w:r>
        <w:t xml:space="preserve">以下评分是我按照一般计算机科学与 AI 实证研究的标准给出的审稿判断，不是任何具体期刊或会议的官方评分。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评审维度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评分（10 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研究问题的重要性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搜索空间与创造力评测均值得研究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问题意识与方法论意识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对指标失效、归因错误的警惕很突出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实验工作量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有多轮实验、负结果和历史判断修正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核心概念的操作化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已有定义，但部分定义尚不能识别目标构念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实验设计与统计推断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小样本、指标效度、等效性判断等仍有漏洞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结论与证据的一致性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多处正文比证据允许的结论更强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可复现性与完整性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待完成事项、数据归档及配置核验仍是障碍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目前的投稿成熟度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研究基础已形成，但尚未达到稳定的投稿版本</w:t>
            </w:r>
          </w:p>
        </w:tc>
      </w:tr>
    </w:tbl>
    <w:p>
      <w:pPr>
        <w:pStyle w:val="BodyText"/>
      </w:pPr>
      <w:r>
        <w:t xml:space="preserve">这里最重要的区别是：实验工作量大，不等于证据强；承认局限，也不等于已经解决局限。你已经具备一定的研究方法意识，但现在必须把这种意识落实到论文的每一个定义、指标和结论上。</w:t>
      </w:r>
    </w:p>
    <w:bookmarkEnd w:id="22"/>
    <w:bookmarkStart w:id="23" w:name="二四篇稿件分别审查"/>
    <w:p>
      <w:pPr>
        <w:pStyle w:val="Heading2"/>
      </w:pPr>
      <w:r>
        <w:t xml:space="preserve">二、四篇稿件分别审查</w:t>
      </w:r>
    </w:p>
    <w:p>
      <w:pPr>
        <w:pStyle w:val="FirstParagraph"/>
      </w:pPr>
      <w:r>
        <w:rPr>
          <w:bCs/>
          <w:b/>
        </w:rPr>
        <w:t xml:space="preserve">第一篇：过早闭合是结构性维度塌缩</w:t>
      </w:r>
      <w:r>
        <w:t xml:space="preserve"> </w:t>
      </w:r>
      <w:r>
        <w:t xml:space="preserve">定位：黑盒测量与分层归因的实证论文 ——</w:t>
      </w:r>
      <w:r>
        <w:t xml:space="preserve"> </w:t>
      </w:r>
      <w:r>
        <w:rPr>
          <w:bCs/>
          <w:b/>
        </w:rPr>
        <w:t xml:space="preserve">大修</w:t>
      </w:r>
    </w:p>
    <w:p>
      <w:pPr>
        <w:pStyle w:val="BodyText"/>
      </w:pPr>
      <w:r>
        <w:t xml:space="preserve">这是四篇中最接近完整实证论文的一篇。它尝试定义闭合、建立宽度指数，并区分解码、表征与架构层。主要问题：现有结果支持"输出同质化的某些迹象"，但还不足以证明你已经识别出结构性维度塌缩，更不能确定其发生层级。</w:t>
      </w:r>
    </w:p>
    <w:p>
      <w:pPr>
        <w:pStyle w:val="BodyText"/>
      </w:pPr>
      <w:r>
        <w:rPr>
          <w:bCs/>
          <w:b/>
        </w:rPr>
        <w:t xml:space="preserve">第二篇：看似完成却未经证实</w:t>
      </w:r>
      <w:r>
        <w:t xml:space="preserve"> </w:t>
      </w:r>
      <w:r>
        <w:t xml:space="preserve">定位：研究方法与外部只读审计规程 ——</w:t>
      </w:r>
      <w:r>
        <w:t xml:space="preserve"> </w:t>
      </w:r>
      <w:r>
        <w:rPr>
          <w:bCs/>
          <w:b/>
        </w:rPr>
        <w:t xml:space="preserve">有潜力，需补验证</w:t>
      </w:r>
    </w:p>
    <w:p>
      <w:pPr>
        <w:pStyle w:val="BodyText"/>
      </w:pPr>
      <w:r>
        <w:t xml:space="preserve">这是我认为最有希望发展成独立方法论论文的一篇。十三类失效模式、代码审计案例和变异注入思路具有实践价值。核心障碍是案例分类与检测规程已经提出，但规程本身还没有证明能够普遍降低错误结论的发生率。</w:t>
      </w:r>
    </w:p>
    <w:p>
      <w:pPr>
        <w:pStyle w:val="BodyText"/>
      </w:pPr>
      <w:r>
        <w:rPr>
          <w:bCs/>
          <w:b/>
        </w:rPr>
        <w:t xml:space="preserve">第三篇：多 Agent 工作流与赢家过拟合</w:t>
      </w:r>
      <w:r>
        <w:t xml:space="preserve"> </w:t>
      </w:r>
      <w:r>
        <w:t xml:space="preserve">定位：Agent 评测范式与实证研究 ——</w:t>
      </w:r>
      <w:r>
        <w:t xml:space="preserve"> </w:t>
      </w:r>
      <w:r>
        <w:rPr>
          <w:bCs/>
          <w:b/>
        </w:rPr>
        <w:t xml:space="preserve">大修</w:t>
      </w:r>
    </w:p>
    <w:p>
      <w:pPr>
        <w:pStyle w:val="BodyText"/>
      </w:pPr>
      <w:r>
        <w:t xml:space="preserve">这篇的优势是外部可核验依据、训练题与未见题的区分，以及对探索广度和错误风险的双轴分析。主要问题是：有限任务集上的赢家失效，能否支撑"该评测范式系统性地产生假阳性"的一般性命题？目前仍需更严格的验证。</w:t>
      </w:r>
    </w:p>
    <w:p>
      <w:pPr>
        <w:pStyle w:val="BodyText"/>
      </w:pPr>
      <w:r>
        <w:rPr>
          <w:bCs/>
          <w:b/>
        </w:rPr>
        <w:t xml:space="preserve">第四篇：状态机还不是提示词</w:t>
      </w:r>
      <w:r>
        <w:t xml:space="preserve"> </w:t>
      </w:r>
      <w:r>
        <w:t xml:space="preserve">定位：状态驱动生成的测量与负结果论文 ——</w:t>
      </w:r>
      <w:r>
        <w:t xml:space="preserve"> </w:t>
      </w:r>
      <w:r>
        <w:rPr>
          <w:bCs/>
          <w:b/>
        </w:rPr>
        <w:t xml:space="preserve">大修，部分关键验证待完成</w:t>
      </w:r>
    </w:p>
    <w:p>
      <w:pPr>
        <w:pStyle w:val="BodyText"/>
      </w:pPr>
      <w:r>
        <w:t xml:space="preserve">这篇提出了一个很好的方法论问题：如何区分状态真正影响了生成取舍，和代码或提示词只是让输出表面上发生变化。主要问题是，几何指标与判官判断发生冲突，而现有样本、跨模型复现和人类盲评尚不足以支持更一般的机制结论。</w:t>
      </w:r>
    </w:p>
    <w:bookmarkEnd w:id="23"/>
    <w:bookmarkStart w:id="28" w:name="三第一篇的关键审稿意见"/>
    <w:p>
      <w:pPr>
        <w:pStyle w:val="Heading2"/>
      </w:pPr>
      <w:r>
        <w:t xml:space="preserve">三、第一篇的关键审稿意见</w:t>
      </w:r>
    </w:p>
    <w:p>
      <w:pPr>
        <w:pStyle w:val="FirstParagraph"/>
      </w:pPr>
      <w:r>
        <w:t xml:space="preserve">这篇我会审得最严格，因为它承担了整个研究系列的基础性概念工作。</w:t>
      </w:r>
    </w:p>
    <w:bookmarkStart w:id="24" w:name="闭合的定义可能过于宽泛"/>
    <w:p>
      <w:pPr>
        <w:pStyle w:val="Heading3"/>
      </w:pPr>
      <w:r>
        <w:t xml:space="preserve">1. "闭合"的定义可能过于宽泛</w:t>
      </w:r>
    </w:p>
    <w:p>
      <w:pPr>
        <w:pStyle w:val="FirstParagraph"/>
      </w:pPr>
      <w:r>
        <w:t xml:space="preserve">你在定义 1 中规定，若参照系 R 能为模型 M 的去重并集增加独有答案，而且差异超过噪声地板，就判定 M 相对 R 闭合。问题在于，这个定义首先测量的是两个可达集之间存在差异，不必然意味着 M 过早停止探索。例如，两个模型只要各自产生了一个对方没有的答案，就可能满足这个条件。即便两者都充分探索了各自的可达空间，这个条件仍可能成立。我建议把两个概念分开：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相对覆盖不足</w:t>
      </w:r>
      <w:r>
        <w:t xml:space="preserve">：相对于明确指定的参照系，模型遗漏了哪些可识别的答案或维度。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过早停止探索</w:t>
      </w:r>
      <w:r>
        <w:t xml:space="preserve">：在给定预算下，继续探索本来还能产生具有意义的新维度，但当前过程已经停止或明显降低探索效率。第二个概念需要额外的停止条件或预算—收益曲线，不能直接从第一个推出。</w:t>
      </w:r>
    </w:p>
    <w:bookmarkEnd w:id="24"/>
    <w:bookmarkStart w:id="25" w:name="宽度指数-α-的证据强度被高估"/>
    <w:p>
      <w:pPr>
        <w:pStyle w:val="Heading3"/>
      </w:pPr>
      <w:r>
        <w:t xml:space="preserve">2. 宽度指数 α 的证据强度被高估</w:t>
      </w:r>
    </w:p>
    <w:p>
      <w:pPr>
        <w:pStyle w:val="FirstParagraph"/>
      </w:pPr>
      <w:r>
        <w:t xml:space="preserve">稿件报告：</w:t>
      </w:r>
      <w:r>
        <w:t xml:space="preserve"> </w:t>
      </w:r>
      <w:r>
        <w:t xml:space="preserve">- K≤3：α = 0.886，95% CI 为 [0.739, 1.045]。</w:t>
      </w:r>
      <w:r>
        <w:t xml:space="preserve"> </w:t>
      </w:r>
      <w:r>
        <w:t xml:space="preserve">- K≤4：α = 0.944，95% CI 为 [0.772, 1.117]。这组结果可以支持一个有限的描述：在当前实验范围内，去重后的答案宽度随着采样数增加而增加。但两个置信区间均包含 1，因此数据并没有明确证明增长率低于线性增长。更重要的是，K 只覆盖 3 或 4 的范围，无法判断曲线在更大预算下是否出现平台。你用末端边际增益为正来支持"尚未饱和"，方向是合理的，但应当严格限定在已测范围内。我建议把这一结论写成：</w:t>
      </w:r>
      <w:r>
        <w:t xml:space="preserve"> </w:t>
      </w:r>
      <w:r>
        <w:t xml:space="preserve">&gt; 在当前任务集与 K≤4 的实验范围内，未观察到答案宽度的明显饱和；更大采样规模下的增长规律尚待验证。此外，论文必须给出 α 的具体估计方法、拟合点、误差估计方法，以及去重阈值变化后的完整敏感性分析。</w:t>
      </w:r>
    </w:p>
    <w:bookmarkEnd w:id="25"/>
    <w:bookmarkStart w:id="26" w:name="有效信息维度还没有得到充分验证"/>
    <w:p>
      <w:pPr>
        <w:pStyle w:val="Heading3"/>
      </w:pPr>
      <w:r>
        <w:t xml:space="preserve">3. "有效信息维度"还没有得到充分验证</w:t>
      </w:r>
    </w:p>
    <w:p>
      <w:pPr>
        <w:pStyle w:val="FirstParagraph"/>
      </w:pPr>
      <w:r>
        <w:t xml:space="preserve">你指出，答案条数、语义角度数和 token 数都不等于真正的信息维度。这是正确的研究方向。但你提出的承重检验依赖于决策岔口、删除反事实和预设结论空间。这些标准本身也可能遗漏真正的新维度。这里存在一个循环风险：</w:t>
      </w:r>
      <w:r>
        <w:t xml:space="preserve"> </w:t>
      </w:r>
      <w:r>
        <w:t xml:space="preserve">1. 先定义哪些内容算承重。</w:t>
      </w:r>
      <w:r>
        <w:t xml:space="preserve"> </w:t>
      </w:r>
      <w:r>
        <w:t xml:space="preserve">2. 再用这些内容计算有效维度。</w:t>
      </w:r>
      <w:r>
        <w:t xml:space="preserve"> </w:t>
      </w:r>
      <w:r>
        <w:t xml:space="preserve">3. 最后根据有效维度没有增长，得出模型没有产生新的有效维度。这并不意味着该指标一定错误，而是需要证明它不会系统性地漏掉你想发现的东西。最低限度的验证应包括盲评、反事实测试，以及人工构造的正负对照：已知增加了一个真正改变决策的维度时，指标能否检测到；只是换了一种说法时，指标能否保持不变。</w:t>
      </w:r>
    </w:p>
    <w:bookmarkEnd w:id="26"/>
    <w:bookmarkStart w:id="27" w:name="三层分离尚未真正完成"/>
    <w:p>
      <w:pPr>
        <w:pStyle w:val="Heading3"/>
      </w:pPr>
      <w:r>
        <w:t xml:space="preserve">4. 三层分离尚未真正完成</w:t>
      </w:r>
    </w:p>
    <w:p>
      <w:pPr>
        <w:pStyle w:val="FirstParagraph"/>
      </w:pPr>
      <w:r>
        <w:t xml:space="preserve">稿件把解码层、表征层、架构层称为三层分离协议，但表格中表征层仍标为待完成。同时，架构层配对比较中 5/5 的置信区间包含 0，只能说明当前实验未能分辨出差异，不能证明架构干预等效于没有干预。你在局限部分已经意识到了这一点，但摘要和判决表中仍有更强的措辞。这属于实质性问题，而不是文字问题。还有一处需要核对：表格 10 写着"三档温度 α 全小于 0.6"，而摘要与表格 9 给出的纯采样 α 约为 0.89–0.94。它们可能来自不同实验或不同口径，但必须在文中明确解释，不能让读者误以为数据互相矛盾。</w:t>
      </w:r>
    </w:p>
    <w:p>
      <w:pPr>
        <w:pStyle w:val="BodyText"/>
      </w:pPr>
      <w:r>
        <w:rPr>
          <w:bCs/>
          <w:b/>
        </w:rPr>
        <w:t xml:space="preserve">审稿结论</w:t>
      </w:r>
      <w:r>
        <w:t xml:space="preserve">：建议保留这篇的核心框架，但把"识别了闭合发生在哪一层"收缩为"建立了分层检验框架，并在有限条件下排除了部分解释"。</w:t>
      </w:r>
    </w:p>
    <w:bookmarkEnd w:id="27"/>
    <w:bookmarkEnd w:id="28"/>
    <w:bookmarkStart w:id="29" w:name="四第二篇最有潜力的方法论论文也有一个明显的过度主张"/>
    <w:p>
      <w:pPr>
        <w:pStyle w:val="Heading2"/>
      </w:pPr>
      <w:r>
        <w:t xml:space="preserve">四、第二篇：最有潜力的方法论论文，也有一个明显的过度主张</w:t>
      </w:r>
    </w:p>
    <w:p>
      <w:pPr>
        <w:pStyle w:val="FirstParagraph"/>
      </w:pPr>
      <w:r>
        <w:t xml:space="preserve">这篇提出的"看起来完成的落差"，是一个容易被实践者理解的问题。特别是架构幻觉、判定函数泄题、检查器失效、措辞污染，以及训练与执行侧配置不一致，都有明确的工程对应物。我认可它的实践价值，但有三个主要审稿意见。</w:t>
      </w:r>
    </w:p>
    <w:p>
      <w:pPr>
        <w:pStyle w:val="BodyText"/>
      </w:pPr>
      <w:r>
        <w:rPr>
          <w:bCs/>
          <w:b/>
        </w:rPr>
        <w:t xml:space="preserve">第一，十三类失效不等于十三类已验证的通用机制。</w:t>
      </w:r>
    </w:p>
    <w:p>
      <w:pPr>
        <w:pStyle w:val="BodyText"/>
      </w:pPr>
      <w:r>
        <w:t xml:space="preserve">前六类来自同一研究簇的一手复盘；后三层的部分案例还需要回查一手材料。一个案例能够证明某种失效确实发生过，但不能自动证明这种失效在其他研究中普遍存在。建议明确区分：</w:t>
      </w:r>
      <w:r>
        <w:t xml:space="preserve"> </w:t>
      </w:r>
      <w:r>
        <w:t xml:space="preserve">- 已由原始日志或源码直接证实的案例；</w:t>
      </w:r>
      <w:r>
        <w:t xml:space="preserve"> </w:t>
      </w:r>
      <w:r>
        <w:t xml:space="preserve">- 根据审计报告整理、仍待原始材料回查的案例；</w:t>
      </w:r>
      <w:r>
        <w:t xml:space="preserve"> </w:t>
      </w:r>
      <w:r>
        <w:t xml:space="preserve">- 作者提出的待验证类别。</w:t>
      </w:r>
    </w:p>
    <w:p>
      <w:pPr>
        <w:pStyle w:val="BodyText"/>
      </w:pPr>
      <w:r>
        <w:rPr>
          <w:bCs/>
          <w:b/>
        </w:rPr>
        <w:t xml:space="preserve">第二，"唯一系统性挡住这些失效的是外部只读审计"过于绝对。</w:t>
      </w:r>
    </w:p>
    <w:p>
      <w:pPr>
        <w:pStyle w:val="BodyText"/>
      </w:pPr>
      <w:r>
        <w:t xml:space="preserve">外部审计是有价值的防线，但规程、自动化测试、预注册、独立复现和数据审计等措施可能互补。你自己的稿件也承认规程尚未经过跨方法的量化验证。因此，目前能支持的是：外部只读审计提供了一种重要的独立核验机制。还不能支持它是唯一有效的系统性防线。</w:t>
      </w:r>
    </w:p>
    <w:p>
      <w:pPr>
        <w:pStyle w:val="BodyText"/>
      </w:pPr>
      <w:r>
        <w:rPr>
          <w:bCs/>
          <w:b/>
        </w:rPr>
        <w:t xml:space="preserve">第三，论文标题与内容不一致。</w:t>
      </w:r>
    </w:p>
    <w:p>
      <w:pPr>
        <w:pStyle w:val="BodyText"/>
      </w:pPr>
      <w:r>
        <w:t xml:space="preserve">英文标题是 Six Ways to Look Done Without Being Verified，但摘要和正文讨论十三类失效。这会让编辑或审稿人直接质疑文稿版本是否同步。建议改成与"十三类失效模式"一致的标题，或者将论文明确收缩为六类具体机制，另外七类放入后续论文。</w:t>
      </w:r>
    </w:p>
    <w:bookmarkEnd w:id="29"/>
    <w:bookmarkStart w:id="30" w:name="五第三篇赢家过拟合的观察有价值但系统性需要额外证据"/>
    <w:p>
      <w:pPr>
        <w:pStyle w:val="Heading2"/>
      </w:pPr>
      <w:r>
        <w:t xml:space="preserve">五、第三篇：赢家过拟合的观察有价值，但"系统性"需要额外证据</w:t>
      </w:r>
    </w:p>
    <w:p>
      <w:pPr>
        <w:pStyle w:val="FirstParagraph"/>
      </w:pPr>
      <w:r>
        <w:t xml:space="preserve">这篇的核心结果是：在 5 道题上选出的最优规格，在 13 道未见题上表现为 2 胜 11 负；训练分与留出分的 Spearman 相关仅 +0.166。这是值得报告的观察。但审稿人会问：它究竟证明了什么？它能够证明，在这次具体的规格选择和测试过程中，训练集上选出的赢家没有在留出集上保持优势。但它还不能单独证明，所有小样本 Agent 工作流评测都会系统性地产生假阳性。这里至少有四项需要补充：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赢家选择过程。</w:t>
      </w:r>
      <w:r>
        <w:t xml:space="preserve"> </w:t>
      </w:r>
      <w:r>
        <w:t xml:space="preserve">究竟比较了多少规格、如何选出冠军、是否存在反复试验后挑选结果的问题？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任务级不确定性。</w:t>
      </w:r>
      <w:r>
        <w:t xml:space="preserve"> </w:t>
      </w:r>
      <w:r>
        <w:t xml:space="preserve">13 道未见题是否足以代表目标任务分布？题目之间是否存在关联？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基线与预算。</w:t>
      </w:r>
      <w:r>
        <w:t xml:space="preserve"> </w:t>
      </w:r>
      <w:r>
        <w:t xml:space="preserve">各臂的调用次数、token 成本和模型配置是否匹配？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判据的独立性。</w:t>
      </w:r>
      <w:r>
        <w:t xml:space="preserve"> </w:t>
      </w:r>
      <w:r>
        <w:t xml:space="preserve">外部核验器的 27/27 通过是对有限测试样本的表现，还是已经在独立数据上证明了检测能力？它对真实、但不在依据包中的主张会如何处理？特别值得肯定的是，你已经在文稿中主动撤回了"架构没用"的宽泛结论，并承认只测了 prompt 级，而没有测交互结构级。这种修正应该保留。但也要避免从"某些工作流变体更差"直接跳到"多 Agent 架构整体无效"。你自己的结果反而提示，任务结构与交互结构可能是重要的调节因素。</w:t>
      </w:r>
    </w:p>
    <w:bookmarkEnd w:id="30"/>
    <w:bookmarkStart w:id="31" w:name="六第四篇状态驱动生成的负结果必须区分测不出来与不存在"/>
    <w:p>
      <w:pPr>
        <w:pStyle w:val="Heading2"/>
      </w:pPr>
      <w:r>
        <w:t xml:space="preserve">六、第四篇：状态驱动生成的负结果，必须区分"测不出来"与"不存在"</w:t>
      </w:r>
    </w:p>
    <w:p>
      <w:pPr>
        <w:pStyle w:val="FirstParagraph"/>
      </w:pPr>
      <w:r>
        <w:t xml:space="preserve">这篇的研究问题很清楚：如果一个 Agent 有持久状态，怎样证明这个状态真正组织了生成过程中的取舍，而不只是改变了提示词或候选文本？我认为"读数是否可能是恒真的"是一条有价值的方法论检查。它能帮助研究者发现一些表面上非常干净、实际上没有判别力的实验。不过，现有结果有一个关键矛盾：</w:t>
      </w:r>
      <w:r>
        <w:t xml:space="preserve"> </w:t>
      </w:r>
      <w:r>
        <w:t xml:space="preserve">- 几何读数落在较窄的范围内，且与重跑噪声地板重叠。</w:t>
      </w:r>
      <w:r>
        <w:t xml:space="preserve"> </w:t>
      </w:r>
      <w:r>
        <w:t xml:space="preserve">- 对同一批产出使用判官两两比较，却得到方向相反的分离。</w:t>
      </w:r>
      <w:r>
        <w:t xml:space="preserve"> </w:t>
      </w:r>
      <w:r>
        <w:t xml:space="preserve">- 跨厂商判官在有限的六组对比上方向一致。这三项结果并不能直接推出"状态化选择要么无效、要么恒真"。它们首先表明：现有测量方法对"状态是否驱动产出"这一构念尚未形成一致、可靠的判定。另一个问题是，9/9 配对打平不等于已经证明选择器无效。你需要预先定义具有实际意义的最小效应，并用足够的样本检验是否能排除该效应。因此，建议将论文的核心贡献定位为：</w:t>
      </w:r>
      <w:r>
        <w:t xml:space="preserve"> </w:t>
      </w:r>
      <w:r>
        <w:t xml:space="preserve">- 识别了状态驱动测量中的循环判据风险；</w:t>
      </w:r>
      <w:r>
        <w:t xml:space="preserve"> </w:t>
      </w:r>
      <w:r>
        <w:t xml:space="preserve">- 展示了不同代理指标可能产生冲突；</w:t>
      </w:r>
      <w:r>
        <w:t xml:space="preserve"> </w:t>
      </w:r>
      <w:r>
        <w:t xml:space="preserve">- 给出了一个待进一步验证的判定协议。不要将"结构性两难"写成已经证明的普遍定理。目前的证据更适合支持一个待检验的假说。</w:t>
      </w:r>
    </w:p>
    <w:bookmarkEnd w:id="31"/>
    <w:bookmarkStart w:id="35" w:name="七四篇论文共同存在的三个根本问题"/>
    <w:p>
      <w:pPr>
        <w:pStyle w:val="Heading2"/>
      </w:pPr>
      <w:r>
        <w:t xml:space="preserve">七、四篇论文共同存在的三个根本问题</w:t>
      </w:r>
    </w:p>
    <w:p>
      <w:pPr>
        <w:pStyle w:val="FirstParagraph"/>
      </w:pPr>
      <w:r>
        <w:t xml:space="preserve">这部分是我认为最重要的审稿意见。</w:t>
      </w:r>
    </w:p>
    <w:bookmarkStart w:id="32" w:name="问题一你对前人要求的证据标准比你对自己的要求更严格"/>
    <w:p>
      <w:pPr>
        <w:pStyle w:val="Heading3"/>
      </w:pPr>
      <w:r>
        <w:t xml:space="preserve">问题一：你对前人要求的证据标准，比你对自己的要求更严格</w:t>
      </w:r>
    </w:p>
    <w:p>
      <w:pPr>
        <w:pStyle w:val="FirstParagraph"/>
      </w:pPr>
      <w:r>
        <w:t xml:space="preserve">你反复强调，不应将行为变化解释为内部机制变化，不应把没有显著差异解释为等效，不应把代理指标当成目标构念。这些判断都是正确的。但当你把这些原则用于自己的研究时，有时仍会出现类似跳跃：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实验读数</w:t>
      </w:r>
      <w:r>
        <w:t xml:space="preserve"> </w:t>
      </w:r>
      <w:r>
        <w:t xml:space="preserve">→ 观察到答案之间高度相似，或某种架构干预没有显著差异。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中间推断</w:t>
      </w:r>
      <w:r>
        <w:t xml:space="preserve"> </w:t>
      </w:r>
      <w:r>
        <w:t xml:space="preserve">→ 将相似性解释为维度塌缩，或将未检出差异解释为架构干预无效。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更强的结论</w:t>
      </w:r>
      <w:r>
        <w:t xml:space="preserve"> </w:t>
      </w:r>
      <w:r>
        <w:t xml:space="preserve">→ 推断问题发生在哪一层，或提出某种结构性两难。每一个箭头都需要独立的证据。第一步读数成立，并不意味着第二步构念解释成立；第二步成立，也不意味着第三步因果归因成立。你最应该做的不是继续增加术语，而是给每一个推断箭头建立独立的证伪条件。</w:t>
      </w:r>
    </w:p>
    <w:bookmarkEnd w:id="32"/>
    <w:bookmarkStart w:id="33" w:name="问题二同一研究簇中的材料不能全部充当独立验证"/>
    <w:p>
      <w:pPr>
        <w:pStyle w:val="Heading3"/>
      </w:pPr>
      <w:r>
        <w:t xml:space="preserve">问题二：同一研究簇中的材料不能全部充当独立验证</w:t>
      </w:r>
    </w:p>
    <w:p>
      <w:pPr>
        <w:pStyle w:val="FirstParagraph"/>
      </w:pPr>
      <w:r>
        <w:t xml:space="preserve">四篇论文之间存在大量共享实验、共享测量工具、共享历史数据和共享研究者判断。这有利于形成连贯的研究计划，但不能把四篇论文的相互引用当成四次独立复现。例如，一篇论文提出某个宽度指标，另一篇论文再用该指标分析同一批数据，第三篇论文据此提出方法论结论。它们可能构成一个很好的研究系列，却不等于三份独立证据。我建议在每篇论文中建立清晰的数据来源表，标明：</w:t>
      </w:r>
      <w:r>
        <w:t xml:space="preserve"> </w:t>
      </w:r>
      <w:r>
        <w:t xml:space="preserve">- 原始实验及其日期；</w:t>
      </w:r>
      <w:r>
        <w:t xml:space="preserve"> </w:t>
      </w:r>
      <w:r>
        <w:t xml:space="preserve">- 使用了哪些既有数据；</w:t>
      </w:r>
      <w:r>
        <w:t xml:space="preserve"> </w:t>
      </w:r>
      <w:r>
        <w:t xml:space="preserve">- 哪些结果是重新计算的；</w:t>
      </w:r>
      <w:r>
        <w:t xml:space="preserve"> </w:t>
      </w:r>
      <w:r>
        <w:t xml:space="preserve">- 哪些实验真正使用了新任务、新运行或新评价者；</w:t>
      </w:r>
      <w:r>
        <w:t xml:space="preserve"> </w:t>
      </w:r>
      <w:r>
        <w:t xml:space="preserve">- 哪些结论已经独立复现。</w:t>
      </w:r>
    </w:p>
    <w:bookmarkEnd w:id="33"/>
    <w:bookmarkStart w:id="34" w:name="问题三待完成实验不能留在正式投稿版本中冒充完整研究"/>
    <w:p>
      <w:pPr>
        <w:pStyle w:val="Heading3"/>
      </w:pPr>
      <w:r>
        <w:t xml:space="preserve">问题三：待完成实验不能留在正式投稿版本中冒充完整研究</w:t>
      </w:r>
    </w:p>
    <w:p>
      <w:pPr>
        <w:pStyle w:val="FirstParagraph"/>
      </w:pPr>
      <w:r>
        <w:t xml:space="preserve">这四篇稿件多处保留了【待完成】、【待同步】和【数据待补】等标记。它们对于内部科研管理是优点，因为你没有用猜测填补缺失数据；但对于准备提交的正式稿件，这些标记意味着论文尚未定稿。其中，第二篇尚未完成跨方法量化验证和外部复现；第三篇仍列出统计方案、预注册归档、结果图表和数据同步等任务；第四篇仍缺人类盲评、跨厂商多题复现及其他构念效度验证。这些工作不必全部在每一篇论文中完成，但每篇稿件必须清楚区分：什么是已完成且支持核心结论的证据，什么只是未来研究计划。</w:t>
      </w:r>
    </w:p>
    <w:bookmarkEnd w:id="34"/>
    <w:bookmarkEnd w:id="35"/>
    <w:bookmarkStart w:id="36" w:name="X5055939c49976e8f4771598b9b1829f85c01419"/>
    <w:p>
      <w:pPr>
        <w:pStyle w:val="Heading2"/>
      </w:pPr>
      <w:r>
        <w:t xml:space="preserve">八、如果我是编辑，我会要求你先完成什么？不建议四篇论文同时进行大规模扩写。最有效的做法是先确定每篇论文的核心主张，再补最能决定其成立与否的证据。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第一优先级：收紧第一篇的概念与结论。</w:t>
      </w:r>
      <w:r>
        <w:t xml:space="preserve"> </w:t>
      </w:r>
      <w:r>
        <w:t xml:space="preserve">先解决"闭合"定义是否能区分相对覆盖不足与提前停止探索、α 的统计解释，以及"架构层无效"和"表征层待完成"的措辞问题。这些问题决定整套研究的概念基础是否站得住。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第二优先级：把第二篇做成可执行、可验证的规程。</w:t>
      </w:r>
      <w:r>
        <w:t xml:space="preserve"> </w:t>
      </w:r>
      <w:r>
        <w:t xml:space="preserve">将十三类失效模式的证据等级固定下来，补齐来源回查，并用盲化案例测试规程能否识别缺陷。若暂时没有资源做跨方法验证，就把它明确定位为案例驱动的规程论文，而不是已经证实有效的通用审计系统。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第三优先级：第三篇先固定数据与评价口径。</w:t>
      </w:r>
      <w:r>
        <w:t xml:space="preserve"> </w:t>
      </w:r>
      <w:r>
        <w:t xml:space="preserve">重新核对模型下架导致的分母漂移，确保所有 dual 臂结果使用正确的分支数、断言数和成本口径；再报告赢家在留出题上的表现。未完成净增益重算前，不要把"架构层净收益为负"写成不受条件限制的一般结论。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第四优先级：第四篇优先解决测量冲突。</w:t>
      </w:r>
      <w:r>
        <w:t xml:space="preserve"> </w:t>
      </w:r>
      <w:r>
        <w:t xml:space="preserve">不要急着再设计 v5 或更复杂的状态机。先确定几何读数与判官读数分别测量什么，建立不依赖单一判官的目标指标，再进行配对盲评和跨模型复现。</w:t>
      </w:r>
    </w:p>
    <w:bookmarkEnd w:id="36"/>
    <w:bookmarkStart w:id="37" w:name="九最后的审稿决定"/>
    <w:p>
      <w:pPr>
        <w:pStyle w:val="Heading2"/>
      </w:pPr>
      <w:r>
        <w:t xml:space="preserve">九、最后的审稿决定</w:t>
      </w:r>
    </w:p>
    <w:p>
      <w:pPr>
        <w:pStyle w:val="FirstParagraph"/>
      </w:pPr>
      <w:r>
        <w:t xml:space="preserve">如果这四篇稿件分别投到相关的 AI 实证研究或研究方法方向，我的初步决定会是：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稿件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最关键的门槛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过早闭合与结构性维度塌缩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概念效度、统计解释、分层归因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外部只读审计规程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来源核验、规程验证、标题与贡献一致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 Agent 赢家过拟合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数据与配置回溯、泛化范围、净增益口径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状态驱动生成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指标冲突、配对检验、独立评价与构念效度</w:t>
            </w:r>
          </w:p>
        </w:tc>
      </w:tr>
    </w:tbl>
    <w:p>
      <w:pPr>
        <w:pStyle w:val="BodyText"/>
      </w:pPr>
      <w:r>
        <w:t xml:space="preserve">我不会仅仅因为作者是高中生而降低标准，也不会因为作者是高中生而否定这些研究。评价应该基于证据本身。我的最终判断是：这批稿件已经有值得继续投入的研究内核，但目前最有说服力的是对实验失效、测量风险和结论边界的识别，而不是对 LLM 创造力或 Agent 架构的最终解释。下一步最值得做的，是把这个内核变成一篇经得起独立复核的论文：明确一个核心问题、使用一套稳定指标、提供可复现的原始证据，并让结论严格停在数据能够支持的位置。这样比同时追求四篇稿件都显得宏大，更有机会真正通过严肃审稿。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src-sha256:ba72cbdb8bde861953ea04e71c8351a6068f695ecb889f091fe16fdfa1330452</cp:keywords>
  <dcterms:created xsi:type="dcterms:W3CDTF">2026-10-25T01:48:10Z</dcterms:created>
  <dcterms:modified xsi:type="dcterms:W3CDTF">2026-10-25T01:48:10Z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