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项必补实验未做，不出空壳正文）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</w:t>
      </w:r>
      <w:r>
        <w:rPr>
          <w:bCs/>
          <w:b/>
        </w:rPr>
        <w:t xml:space="preserve">任何声称用满 6 支的场合，读数都要先核支数是否真为 6</w:t>
      </w:r>
      <w:r>
        <w:t xml:space="preserve">。历史对照值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支口径下），对照域必须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，NLL / perplexity / typicality / PMI 全族作废；无 GPU。唯一允许的写法：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差异是纯噪声，天然零分布）。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，同一份 md 在不同机器/不同 pandoc 版本下可能产出不同的 docx，外部就复核不了我们交付的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，「单元格零丢失」才是个真判据。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（连「误报率」的口径都还没定义），C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src-sha256:b45b31c52adac5096c380374d58cc41e38d25929a3ed622a3e6bf2ba40f2d88e</cp:keywords>
  <dcterms:created xsi:type="dcterms:W3CDTF">2026-10-25T01:47:48Z</dcterms:created>
  <dcterms:modified xsi:type="dcterms:W3CDTF">2026-10-25T01:47:48Z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