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周），只给缺口清单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C，实际四篇；第 1 层是 10-22 新建方向的</w:t>
      </w:r>
      <w:r>
        <w:rPr>
          <w:bCs/>
          <w:b/>
        </w:rPr>
        <w:t xml:space="preserve">空位</w:t>
      </w:r>
      <w:r>
        <w:t xml:space="preserve">，今天补上，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型号池 3/9 下架，历史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分支臂不受影响，核心过拟合结论稳固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效应直接反驳），改为：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级】身份多样性无效，架构的杠杆是【交互结构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核心收获**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：状态不进候选，打分无处发力；状态进候选，打分接近恒真，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静默忽略，typicality/NLL/PMI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三层排除**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），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措辞红线**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的熵可测，ES-H4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型号池静默下架，历史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），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支空串，被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同源，方向性支持，暂不定量引用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要求所有篇适用"/>
    <w:p>
      <w:pPr>
        <w:pStyle w:val="Heading2"/>
      </w:pPr>
      <w:r>
        <w:t xml:space="preserve">4 · 共用的写作要求（所有篇适用）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解法路径唯一），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机制链「出处与定性」列），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，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13:40），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 ** 一次自查误判已推翻并恢复**（n 基线逐 n 表曾被误判为无源并删除，核实确认有源），对外表述见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/ 5 ◐ / 9，被问"哪些没做"时直接给这张表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定位命中），外部可照着核；证明的是「数字有出处」，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src-sha256:36aa18a3ef412d7bf6b19ab1dc04d51f02b23474d5034e96e05356e474a93d50</cp:keywords>
  <dcterms:created xsi:type="dcterms:W3CDTF">2026-10-25T01:48:04Z</dcterms:created>
  <dcterms:modified xsi:type="dcterms:W3CDTF">2026-10-25T01:48:04Z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