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（§3.3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；但</w:t>
            </w:r>
            <w:r>
              <w:rPr>
                <w:bCs/>
                <w:b/>
              </w:rPr>
              <w:t xml:space="preserve">预注册文档未写</w:t>
            </w:r>
            <w:r>
              <w:t xml:space="preserve">（稿内写"预注册待触发"），样本量未写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src-sha256:d4d78c36b13b88ecd01d7711af065ad9165b4ac7db77d24cfc33568e3b76410c</cp:keywords>
  <dcterms:created xsi:type="dcterms:W3CDTF">2026-10-24T15:47:08Z</dcterms:created>
  <dcterms:modified xsi:type="dcterms:W3CDTF">2026-10-24T15:47:08Z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