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745bdeccc21fddb30fdc571bb3404951dba19c9"/>
    <w:p>
      <w:pPr>
        <w:pStyle w:val="Heading1"/>
      </w:pPr>
      <w:r>
        <w:t xml:space="preserve">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层1 · 现象与分层归因（答辩交差稿 v0.1 · 2026-10-24）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主张已识别闭合的模型内部成因。在拿到内部激活访问权之前，任何"</w:t>
      </w:r>
      <w:r>
        <w:rPr>
          <w:bCs/>
          <w:b/>
        </w:rPr>
        <w:t xml:space="preserve">把成因直接归给注意力机制</w:t>
      </w:r>
      <w:r>
        <w:t xml:space="preserve">"的措辞都应删掉或改写成"</w:t>
      </w:r>
      <w:r>
        <w:rPr>
          <w:bCs/>
          <w:b/>
        </w:rPr>
        <w:t xml:space="preserve">与注意力机制相容但本文未检验</w:t>
      </w:r>
      <w:r>
        <w:t xml:space="preserve">"（见 §7.3）。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的一个说法。本文的贡献不是再描述一次这个现象，而是把它变成一组</w:t>
      </w:r>
      <w:r>
        <w:rPr>
          <w:bCs/>
          <w:b/>
        </w:rPr>
        <w:t xml:space="preserve">可分别证伪的命题</w:t>
      </w:r>
      <w:r>
        <w:t xml:space="preserve">，并在</w:t>
      </w:r>
      <w:r>
        <w:rPr>
          <w:bCs/>
          <w:b/>
        </w:rPr>
        <w:t xml:space="preserve">纯黑盒</w:t>
      </w:r>
      <w:r>
        <w:t xml:space="preserve">（无内部探针、无自托管权重）的条件下执行其中可执行的部分。</w:t>
      </w:r>
    </w:p>
    <w:p>
      <w:pPr>
        <w:pStyle w:val="BodyText"/>
      </w:pPr>
      <w:r>
        <w:t xml:space="preserve">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1），并给出</w:t>
      </w:r>
      <w:r>
        <w:rPr>
          <w:bCs/>
          <w:b/>
        </w:rPr>
        <w:t xml:space="preserve">三层分离协议</w:t>
      </w:r>
      <w:r>
        <w:t xml:space="preserve">——解码层、表征层、架构层——每一层有自己的主指标与可失败预测（</w:t>
      </w:r>
      <w:r>
        <w:rPr>
          <w:bCs/>
          <w:b/>
        </w:rPr>
        <w:t xml:space="preserve">其中两轴已测、一轴待完成</w:t>
      </w:r>
      <w:r>
        <w:t xml:space="preserve">：解码层与架构层已测，表征层待完成）。⚠️</w:t>
      </w:r>
      <w:r>
        <w:t xml:space="preserve"> </w:t>
      </w:r>
      <w:r>
        <w:rPr>
          <w:bCs/>
          <w:b/>
        </w:rPr>
        <w:t xml:space="preserve">定义 1 判定的是「相对覆盖不足」</w:t>
      </w:r>
      <w:r>
        <w:t xml:space="preserve">（相对于参照系漏掉了哪些可识别的答案或维度）；</w:t>
      </w:r>
      <w:r>
        <w:rPr>
          <w:bCs/>
          <w:b/>
        </w:rPr>
        <w:t xml:space="preserve">「过早停止探索」是另一个构念</w:t>
      </w:r>
      <w:r>
        <w:t xml:space="preserve">，它需要额外的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（§3.1b）。主指标是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（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次独立采样产出的去重并集宽度），选择它是因为绝对宽度差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，只能与表述层同质化的其它读数同向（§3.5）。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三、归因到注意力机制在现有数据下不被支持。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我们把结论写成"</w:t>
      </w:r>
      <w:r>
        <w:rPr>
          <w:bCs/>
          <w:b/>
        </w:rPr>
        <w:t xml:space="preserve">剩余候选 = 表示/架构侧</w:t>
      </w:r>
      <w:r>
        <w:t xml:space="preserve">"，而不是"我们证明了是注意力机制"。</w:t>
      </w:r>
    </w:p>
    <w:p>
      <w:pPr>
        <w:pStyle w:val="BodyText"/>
      </w:pPr>
      <w:r>
        <w:rPr>
          <w:bCs/>
          <w:b/>
        </w:rPr>
        <w:t xml:space="preserve">方法论上，我们主张本文最可复用的产物是三层分离协议本身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架构侧）的问题。特别地，</w:t>
      </w:r>
      <w:r>
        <w:rPr>
          <w:bCs/>
          <w:b/>
        </w:rPr>
        <w:t xml:space="preserve">在本批测量下，架构层的干预未能检出与直调臂的差异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§5.3.1）。⇒</w:t>
      </w:r>
      <w:r>
        <w:t xml:space="preserve"> </w:t>
      </w:r>
      <w:r>
        <w:rPr>
          <w:bCs/>
          <w:b/>
        </w:rPr>
        <w:t xml:space="preserve">在解码层加采样，是我们目前唯一测出正结果的方向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宽度指数 · 黑盒操作化 · 三层分离 · 解码层 · 表述层</w:t>
      </w:r>
    </w:p>
    <w:p>
      <w:r>
        <w:pict>
          <v:rect style="width:0;height:1.5pt" o:hralign="center" o:hrstd="t" o:hr="t"/>
        </w:pict>
      </w:r>
    </w:p>
    <w:bookmarkEnd w:id="20"/>
    <w:bookmarkStart w:id="25" w:name="引言"/>
    <w:p>
      <w:pPr>
        <w:pStyle w:val="Heading2"/>
      </w:pPr>
      <w:r>
        <w:t xml:space="preserve">1 引言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。要修，就得知道闭合发生在哪一层。</w:t>
      </w:r>
    </w:p>
    <w:bookmarkEnd w:id="21"/>
    <w:bookmarkStart w:id="22" w:name="我们与已有工作的边界"/>
    <w:p>
      <w:pPr>
        <w:pStyle w:val="Heading3"/>
      </w:pPr>
      <w:r>
        <w:t xml:space="preserve">1.2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给内部机制判决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</w:p>
    <w:bookmarkEnd w:id="22"/>
    <w:bookmarkStart w:id="23" w:name="贡献三条对应章节"/>
    <w:p>
      <w:pPr>
        <w:pStyle w:val="Heading3"/>
      </w:pPr>
      <w:r>
        <w:t xml:space="preserve">1.3 贡献（三条，对应章节）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的定义与分离协议（§3.1、§3.3）。</w:t>
      </w:r>
    </w:p>
    <w:p>
      <w:pPr>
        <w:pStyle w:val="BlockText"/>
      </w:pPr>
      <w:r>
        <w:rPr>
          <w:bCs/>
          <w:b/>
        </w:rPr>
        <w:t xml:space="preserve">C2（测量）</w:t>
      </w:r>
      <w:r>
        <w:t xml:space="preserve">：给出输出侧可测表征（去重后有效信息维度数、宽度指数 α），并证明它与 token 数、字数、语义相似度等常见代理</w:t>
      </w:r>
      <w:r>
        <w:rPr>
          <w:bCs/>
          <w:b/>
        </w:rPr>
        <w:t xml:space="preserve">不等价</w:t>
      </w:r>
      <w:r>
        <w:t xml:space="preserve">（§3.2、§3.4）。</w:t>
      </w:r>
    </w:p>
    <w:p>
      <w:pPr>
        <w:pStyle w:val="BlockText"/>
      </w:pPr>
      <w:r>
        <w:rPr>
          <w:bCs/>
          <w:b/>
        </w:rPr>
        <w:t xml:space="preserve">C3（分离）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其中两轴已测、一轴待完成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（§5）。</w:t>
      </w:r>
    </w:p>
    <w:bookmarkEnd w:id="23"/>
    <w:bookmarkStart w:id="24" w:name="本文与论文簇的关系"/>
    <w:p>
      <w:pPr>
        <w:pStyle w:val="Heading3"/>
      </w:pPr>
      <w:r>
        <w:t xml:space="preserve">1.4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篇（测量规程 · 已成稿）──提供核验器──▶ 本篇（现象与分层）──提供"闭合"的定义──▶ A 篇（工作流干预有没有用）</w:t>
      </w:r>
      <w:r>
        <w:br/>
      </w:r>
      <w:r>
        <w:rPr>
          <w:rStyle w:val="VerbatimChar"/>
        </w:rPr>
        <w:t xml:space="preserve">                                                                            └──▶ D 篇（状态机 vs 提示词）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相关工作"/>
    <w:p>
      <w:pPr>
        <w:pStyle w:val="Heading2"/>
      </w:pPr>
      <w:r>
        <w:t xml:space="preserve">2 相关工作</w:t>
      </w:r>
    </w:p>
    <w:bookmarkStart w:id="26" w:name="内部机制侧注意力坍缩低熵解码早收敛"/>
    <w:p>
      <w:pPr>
        <w:pStyle w:val="Heading3"/>
      </w:pPr>
      <w:r>
        <w:t xml:space="preserve">2.1 内部机制侧：注意力坍缩、低熵解码、早收敛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⚠️ 本文与这一族的关系必须写清：</w:t>
      </w:r>
      <w:r>
        <w:rPr>
          <w:bCs/>
          <w:b/>
        </w:rPr>
        <w:t xml:space="preserve">我们不与它们竞争，也不复述它们。</w:t>
      </w:r>
      <w:r>
        <w:t xml:space="preserve"> </w:t>
      </w:r>
      <w:r>
        <w:t xml:space="preserve">它们需要内部激活，而我们在黑盒条件下</w:t>
      </w:r>
      <w:r>
        <w:rPr>
          <w:bCs/>
          <w:b/>
        </w:rPr>
        <w:t xml:space="preserve">拿不到</w:t>
      </w:r>
      <w:r>
        <w:t xml:space="preserve">。我们能做的是</w:t>
      </w:r>
      <w:r>
        <w:rPr>
          <w:bCs/>
          <w:b/>
        </w:rPr>
        <w:t xml:space="preserve">排除其他层</w:t>
      </w:r>
      <w:r>
        <w:t xml:space="preserve">，从而把剩余候选收窄——这是</w:t>
      </w:r>
      <w:r>
        <w:rPr>
          <w:bCs/>
          <w:b/>
        </w:rPr>
        <w:t xml:space="preserve">排除法</w:t>
      </w:r>
      <w:r>
        <w:t xml:space="preserve">，不是</w:t>
      </w:r>
      <w:r>
        <w:rPr>
          <w:bCs/>
          <w:b/>
        </w:rPr>
        <w:t xml:space="preserve">正面归因</w:t>
      </w:r>
      <w:r>
        <w:t xml:space="preserve">。</w:t>
      </w:r>
    </w:p>
    <w:p>
      <w:pPr>
        <w:pStyle w:val="BodyText"/>
      </w:pPr>
      <w:r>
        <w:t xml:space="preserve">⇒ 一个必须写进引言的诚实声明（来自 §7.3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"。</w:t>
      </w:r>
    </w:p>
    <w:bookmarkEnd w:id="26"/>
    <w:bookmarkStart w:id="27" w:name="多样性坍缩与典型性偏置"/>
    <w:p>
      <w:pPr>
        <w:pStyle w:val="Heading3"/>
      </w:pPr>
      <w:r>
        <w:t xml:space="preserve">2.2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</w:p>
    <w:bookmarkEnd w:id="27"/>
    <w:bookmarkStart w:id="28" w:name="问题空间侧的既有工作"/>
    <w:p>
      <w:pPr>
        <w:pStyle w:val="Heading3"/>
      </w:pPr>
      <w:r>
        <w:t xml:space="preserve">2.3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28"/>
    <w:bookmarkStart w:id="29" w:name="与论文簇其余各篇的分工"/>
    <w:p>
      <w:pPr>
        <w:pStyle w:val="Heading3"/>
      </w:pPr>
      <w:r>
        <w:t xml:space="preserve">2.4 与论文簇其余各篇的分工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0" w:name="方法"/>
    <w:p>
      <w:pPr>
        <w:pStyle w:val="Heading2"/>
      </w:pPr>
      <w:r>
        <w:t xml:space="preserve">3 方法</w:t>
      </w:r>
    </w:p>
    <w:bookmarkStart w:id="31" w:name="定义-1黑盒闭合-全文的支点"/>
    <w:p>
      <w:pPr>
        <w:pStyle w:val="Heading3"/>
      </w:pPr>
      <w:r>
        <w:t xml:space="preserve">3.1 ★ 定义 1（黑盒闭合）——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（§3.4）。</w:t>
      </w:r>
    </w:p>
    <w:bookmarkEnd w:id="31"/>
    <w:bookmarkStart w:id="32" w:name="b-定义-1-测的是什么不测什么闭合必须拆成两个可分别证伪的概念"/>
    <w:p>
      <w:pPr>
        <w:pStyle w:val="Heading3"/>
      </w:pPr>
      <w:r>
        <w:t xml:space="preserve">3.1b ★ 定义 1 测的是什么、不测什么（★「闭合」必须拆成两个可分别证伪的概念）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三个构念的完成度（全文口径固定，§5.1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行为层成立（§5.1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32"/>
    <w:bookmarkStart w:id="33" w:name="先把两个词分开混在一起就量不出来"/>
    <w:p>
      <w:pPr>
        <w:pStyle w:val="Heading3"/>
      </w:pPr>
      <w:r>
        <w:t xml:space="preserve">3.2 ★ 先把两个词分开（混在一起就量不出来）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§3.1b）；代理量见 §5.5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§5.5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33"/>
    <w:bookmarkStart w:id="34" w:name="三层分离协议"/>
    <w:p>
      <w:pPr>
        <w:pStyle w:val="Heading3"/>
      </w:pPr>
      <w:r>
        <w:t xml:space="preserve">3.3 ★ 三层分离协议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【待完成】预注册待触发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这一节是全文的骨架</w:t>
      </w:r>
      <w:r>
        <w:t xml:space="preserve">——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；只测一轴，就只是一个单点观察。</w:t>
      </w:r>
    </w:p>
    <w:bookmarkEnd w:id="34"/>
    <w:bookmarkStart w:id="36" w:name="主指标宽度指数-α以及为什么不能用绝对宽度"/>
    <w:p>
      <w:pPr>
        <w:pStyle w:val="Heading3"/>
      </w:pPr>
      <w:r>
        <w:t xml:space="preserve">3.4 ★ 主指标：宽度指数 α，以及为什么不能用绝对宽度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  <w:r>
        <w:t xml:space="preserve"> </w:t>
      </w:r>
      <w:r>
        <w:rPr>
          <w:bCs/>
          <w:b/>
        </w:rPr>
        <w:t xml:space="preserve">宽度指数</w:t>
      </w:r>
      <w:r>
        <w:t xml:space="preserve"> </w:t>
      </w:r>
      <w:r>
        <w:rPr>
          <w:rStyle w:val="VerbatimChar"/>
        </w:rPr>
        <w:t xml:space="preserve">α = d log PR / d log K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尺度无关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Start w:id="35" w:name="α-的估计方法拟合点与不确定性-四要素逐项登记未归档项显式写明"/>
    <w:p>
      <w:pPr>
        <w:pStyle w:val="Heading4"/>
      </w:pPr>
      <w:r>
        <w:t xml:space="preserve">★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（§3.4 / §5.2）；本文在解码层能说的只有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35"/>
    <w:bookmarkEnd w:id="36"/>
    <w:bookmarkStart w:id="38" w:name="有效信息维度数为什么不能用量角度数新颖性"/>
    <w:p>
      <w:pPr>
        <w:pStyle w:val="Heading3"/>
      </w:pPr>
      <w:r>
        <w:t xml:space="preserve">3.5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§5.6 的接口。</w:t>
      </w:r>
    </w:p>
    <w:bookmarkStart w:id="37" w:name="循环性与它没有被验证的部分-承重检验的读法边界"/>
    <w:p>
      <w:pPr>
        <w:pStyle w:val="Heading4"/>
      </w:pPr>
      <w:r>
        <w:t xml:space="preserve">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（§5.1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</w:p>
    <w:bookmarkEnd w:id="37"/>
    <w:bookmarkEnd w:id="38"/>
    <w:bookmarkStart w:id="39" w:name="统计纪律"/>
    <w:p>
      <w:pPr>
        <w:pStyle w:val="Heading3"/>
      </w:pPr>
      <w:r>
        <w:t xml:space="preserve">3.6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实验"/>
    <w:p>
      <w:pPr>
        <w:pStyle w:val="Heading2"/>
      </w:pPr>
      <w:r>
        <w:t xml:space="preserve">4 实验</w:t>
      </w:r>
    </w:p>
    <w:bookmarkStart w:id="41" w:name="数据来源三组已成立结果的再分析零新增模型调用"/>
    <w:p>
      <w:pPr>
        <w:pStyle w:val="Heading3"/>
      </w:pPr>
      <w:r>
        <w:t xml:space="preserve">4.1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§5.4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§4.4</w:t>
      </w:r>
      <w:r>
        <w:t xml:space="preserve">（本表只列"用了哪些数据"，不列"这些数据从哪来、是不是新的、跟别的篇共用了多少"）。</w:t>
      </w:r>
    </w:p>
    <w:bookmarkEnd w:id="41"/>
    <w:bookmarkStart w:id="42" w:name="口径必须钉死否则跨报告比较全是错的"/>
    <w:p>
      <w:pPr>
        <w:pStyle w:val="Heading3"/>
      </w:pPr>
      <w:r>
        <w:t xml:space="preserve">4.2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42"/>
    <w:bookmarkStart w:id="43" w:name="判据自检方法节的一部分不是附录"/>
    <w:p>
      <w:pPr>
        <w:pStyle w:val="Heading3"/>
      </w:pPr>
      <w:r>
        <w:t xml:space="preserve">4.3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判官（§5.5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§7.4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43"/>
    <w:bookmarkStart w:id="44" w:name="数据来源与独立性声明-逐条登记本篇每一条读数的出处"/>
    <w:p>
      <w:pPr>
        <w:pStyle w:val="Heading3"/>
      </w:pPr>
      <w:r>
        <w:t xml:space="preserve">4.4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§4.1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（§3.4）⇒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任务结构对照（§5.1b）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本篇引用：§5.3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⇒ ⇒ 因此本篇每一条结论的强度上限，等于它所用那批数据本身的强度上限（§5.1 判决表逐条标注了支持度与还缺什么）。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结果"/>
    <w:p>
      <w:pPr>
        <w:pStyle w:val="Heading2"/>
      </w:pPr>
      <w:r>
        <w:t xml:space="preserve">5 结果</w:t>
      </w:r>
    </w:p>
    <w:bookmarkStart w:id="46" w:name="判决表本文最重要的一张表"/>
    <w:p>
      <w:pPr>
        <w:pStyle w:val="Heading3"/>
      </w:pPr>
      <w:r>
        <w:t xml:space="preserve">5.1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（§3.1b：「过早停止探索」是另一个构念，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§3.5）。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§3.1b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（§3.5）⇒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§3.5）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§5.3.1）。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§3.5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（§3.4）⇒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（§5.3.1）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」（§7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（谈注意力经济的散文），不是测量数据。</w:t>
            </w:r>
            <w:r>
              <w:t xml:space="preserve">⇒ 现有全部结论都只在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需要能拿到内部激活的访问权 + 表示层/注意力探针设计 + 对应基线。</w:t>
            </w:r>
            <w:r>
              <w:rPr>
                <w:bCs/>
                <w:b/>
              </w:rPr>
              <w:t xml:space="preserve">在此之前，论文里任何"把成因直接归给注意力机制"的措辞都应删掉或改写成「与注意力机制相容但未被检验」。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（§5.3.1），后者需要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（§3.5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bookmarkEnd w:id="46"/>
    <w:bookmarkStart w:id="47" w:name="b-塌缩的真正条件不是答案唯一是解法路径唯一"/>
    <w:p>
      <w:pPr>
        <w:pStyle w:val="Heading3"/>
      </w:pPr>
      <w:r>
        <w:t xml:space="preserve">5.1b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本文的归因边界（§5.1 最后一行的"归因到注意力机制 = 不支持"）完全不受这条影响，也不因这条而放松。</w:t>
      </w:r>
      <w:r>
        <w:t xml:space="preserve"> </w:t>
      </w:r>
      <w:r>
        <w:t xml:space="preserve">&gt; ⇒ ⇒ 任何"</w:t>
      </w:r>
      <w:r>
        <w:rPr>
          <w:bCs/>
          <w:b/>
        </w:rPr>
        <w:t xml:space="preserve">把成因直接归给注意力机制</w:t>
      </w:r>
      <w:r>
        <w:t xml:space="preserve">"的措辞</w:t>
      </w:r>
      <w:r>
        <w:rPr>
          <w:bCs/>
          <w:b/>
        </w:rPr>
        <w:t xml:space="preserve">依然不成立</w:t>
      </w:r>
      <w:r>
        <w:t xml:space="preserve">；正确写法仍是"</w:t>
      </w:r>
      <w:r>
        <w:rPr>
          <w:bCs/>
          <w:b/>
        </w:rPr>
        <w:t xml:space="preserve">与注意力机制相容但本文未检验</w:t>
      </w:r>
      <w:r>
        <w:t xml:space="preserve">"。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47"/>
    <w:bookmarkStart w:id="48" w:name="一句话结论"/>
    <w:p>
      <w:pPr>
        <w:pStyle w:val="Heading3"/>
      </w:pPr>
      <w:r>
        <w:t xml:space="preserve">5.2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§5.3.1），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48"/>
    <w:bookmarkStart w:id="51" w:name="三层排除这是本文对整个项目最有用的一张表"/>
    <w:p>
      <w:pPr>
        <w:pStyle w:val="Heading3"/>
      </w:pPr>
      <w:r>
        <w:t xml:space="preserve">5.3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§5.3.1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49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§5.1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（取数脚本与机读数据文件未随本稿归档，§3.4）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：§5.3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49"/>
    <w:bookmarkStart w:id="50" w:name="检出力声明本文所有未检出-不可分辨读数共用"/>
    <w:p>
      <w:pPr>
        <w:pStyle w:val="Heading4"/>
      </w:pPr>
      <w:r>
        <w:t xml:space="preserve">§5.3.1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50"/>
    <w:bookmarkEnd w:id="51"/>
    <w:bookmarkStart w:id="52" w:name="跨厂商熵-结构es实验待完成"/>
    <w:p>
      <w:pPr>
        <w:pStyle w:val="Heading3"/>
      </w:pPr>
      <w:r>
        <w:t xml:space="preserve">5.4 ★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§7.3 的注意力归因同类。</w:t>
      </w:r>
    </w:p>
    <w:bookmarkEnd w:id="52"/>
    <w:bookmarkStart w:id="54" w:name="归因路由h7把过早闭合判给正确的层"/>
    <w:p>
      <w:pPr>
        <w:pStyle w:val="Heading3"/>
      </w:pPr>
      <w:r>
        <w:t xml:space="preserve">5.5 ★ 归因路由（H7）：把"过早闭合"判给正确的层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</w:p>
    <w:bookmarkStart w:id="53" w:name="推断链-证伪条件表-每一条推断箭头各有一条独立的证伪条件"/>
    <w:p>
      <w:pPr>
        <w:pStyle w:val="Heading4"/>
      </w:pPr>
      <w:r>
        <w:t xml:space="preserve">§5.5.1 ·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「解码层采样能力饱和」成立，§5.1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这才是等效性结论（§7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（§5.3.1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§3.5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去重阈值敏感性曲线（§3.4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</w:t>
            </w:r>
            <w:r>
              <w:rPr>
                <w:bCs/>
                <w:b/>
              </w:rPr>
              <w:t xml:space="preserve">不被支持</w:t>
            </w:r>
            <w:r>
              <w:t xml:space="preserve">（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同题孪生题（§7 L11）；且 S4 为自编题、每格题数不等（§7 L12）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bookmarkEnd w:id="53"/>
    <w:bookmarkEnd w:id="54"/>
    <w:bookmarkStart w:id="55" w:name="与层2层3层4-的接口"/>
    <w:p>
      <w:pPr>
        <w:pStyle w:val="Heading3"/>
      </w:pPr>
      <w:r>
        <w:t xml:space="preserve">5.6 与层2/层3/层4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55"/>
    <w:bookmarkStart w:id="56" w:name="我们的自检与自我推翻写进正文不藏"/>
    <w:p>
      <w:pPr>
        <w:pStyle w:val="Heading3"/>
      </w:pPr>
      <w:r>
        <w:t xml:space="preserve">5.7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3" w:name="讨论"/>
    <w:p>
      <w:pPr>
        <w:pStyle w:val="Heading2"/>
      </w:pPr>
      <w:r>
        <w:t xml:space="preserve">6 讨论</w:t>
      </w:r>
    </w:p>
    <w:bookmarkStart w:id="58" w:name="四层合起来看到底该往哪投入"/>
    <w:p>
      <w:pPr>
        <w:pStyle w:val="Heading3"/>
      </w:pPr>
      <w:r>
        <w:t xml:space="preserve">6.1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</w:t>
            </w:r>
            <w:r>
              <w:rPr>
                <w:bCs/>
                <w:b/>
              </w:rPr>
              <w:t xml:space="preserve">注意力归因不被支持</w:t>
            </w:r>
            <w:r>
              <w:t xml:space="preserve">（与注意力机制相容，但本文未检验该假设）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{8,16,32}；拿到内部激活访问权才谈机制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</w:p>
    <w:bookmarkEnd w:id="58"/>
    <w:bookmarkStart w:id="59" w:name="我们与-psfa-的差异"/>
    <w:p>
      <w:pPr>
        <w:pStyle w:val="Heading3"/>
      </w:pPr>
      <w:r>
        <w:t xml:space="preserve">6.2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</w:p>
    <w:bookmarkEnd w:id="59"/>
    <w:bookmarkStart w:id="60" w:name="与-diversity-collapse-的关系"/>
    <w:p>
      <w:pPr>
        <w:pStyle w:val="Heading3"/>
      </w:pPr>
      <w:r>
        <w:t xml:space="preserve">6.3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</w:p>
    <w:bookmarkEnd w:id="60"/>
    <w:bookmarkStart w:id="61" w:name="与-agentsquare-tot-的关系"/>
    <w:p>
      <w:pPr>
        <w:pStyle w:val="Heading3"/>
      </w:pPr>
      <w:r>
        <w:t xml:space="preserve">6.4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61"/>
    <w:bookmarkStart w:id="62" w:name="给实践者的一条建议"/>
    <w:p>
      <w:pPr>
        <w:pStyle w:val="Heading3"/>
      </w:pPr>
      <w:r>
        <w:t xml:space="preserve">6.5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t xml:space="preserve"> </w:t>
      </w:r>
      <w:r>
        <w:t xml:space="preserve">因为本文实测：</w:t>
      </w:r>
      <w:r>
        <w:rPr>
          <w:bCs/>
          <w:b/>
        </w:rPr>
        <w:t xml:space="preserve">多采样能给你更多条想法，但给不了更多条结构上不同的想法</w:t>
      </w:r>
      <w:r>
        <w:t xml:space="preserve">（index = 0.135）。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加采样次数是半个解。另一半在"要不要真的按结构去重"上。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局限与否证条件"/>
    <w:p>
      <w:pPr>
        <w:pStyle w:val="Heading2"/>
      </w:pPr>
      <w:r>
        <w:t xml:space="preserve">7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§5.1 的"剩余候选 = 表示侧"作废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注意力归因不被支持</w:t>
            </w:r>
            <w:r>
              <w:t xml:space="preserve">（无任何内部数据）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§5.1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：§4.2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（§4.3）⇒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§5.1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（§5.1b）⇒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§5.1b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（§3.4）⇒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§5.1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（§3.5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§5.1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结论"/>
    <w:p>
      <w:pPr>
        <w:pStyle w:val="Heading2"/>
      </w:pPr>
      <w:r>
        <w:t xml:space="preserve">8 结论</w:t>
      </w:r>
    </w:p>
    <w:p>
      <w:pPr>
        <w:pStyle w:val="FirstParagraph"/>
      </w:pPr>
      <w:r>
        <w:t xml:space="preserve">我们把「搜索空间过早闭合」从一个</w:t>
      </w:r>
      <w:r>
        <w:rPr>
          <w:bCs/>
          <w:b/>
        </w:rPr>
        <w:t xml:space="preserve">说法</w:t>
      </w:r>
      <w:r>
        <w:t xml:space="preserve">变成了一组</w:t>
      </w:r>
      <w:r>
        <w:rPr>
          <w:bCs/>
          <w:b/>
        </w:rPr>
        <w:t xml:space="preserve">可分别证伪的命题</w:t>
      </w:r>
      <w:r>
        <w:t xml:space="preserve">，并给出了一个</w:t>
      </w:r>
      <w:r>
        <w:rPr>
          <w:bCs/>
          <w:b/>
        </w:rPr>
        <w:t xml:space="preserve">纯黑盒可执行</w:t>
      </w:r>
      <w:r>
        <w:t xml:space="preserve">的分离协议。</w:t>
      </w:r>
    </w:p>
    <w:p>
      <w:pPr>
        <w:pStyle w:val="BodyText"/>
      </w:pPr>
      <w:r>
        <w:rPr>
          <w:bCs/>
          <w:b/>
        </w:rPr>
        <w:t xml:space="preserve">一、我们给了"闭合"一个可操作的定义。</w:t>
      </w:r>
      <w:r>
        <w:t xml:space="preserve"> </w:t>
      </w:r>
      <w:r>
        <w:t xml:space="preserve">相对于参照系的可达集比较（定义 1），换参照系 = 换层；主指标是尺度无关的宽度指数 α，因为绝对宽度差</w:t>
      </w:r>
      <w:r>
        <w:rPr>
          <w:bCs/>
          <w:b/>
        </w:rPr>
        <w:t xml:space="preserve">基本落在噪声地板内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（§3.1b）——本文的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，§3.5）；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：本批检出力不足以排除中等以下的效应（§5.3.1）；</w:t>
      </w:r>
      <w:r>
        <w:t xml:space="preserve"> </w:t>
      </w:r>
      <w:r>
        <w:rPr>
          <w:bCs/>
          <w:b/>
        </w:rPr>
        <w:t xml:space="preserve">注意力归因不被支持</w:t>
      </w:r>
      <w:r>
        <w:t xml:space="preserve">（无任何内部激活数据）⇒ 唯一允许的写法是"</w:t>
      </w:r>
      <w:r>
        <w:rPr>
          <w:bCs/>
          <w:b/>
        </w:rPr>
        <w:t xml:space="preserve">与注意力机制相容，但本文未检验该假设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三、我们把剩余候选收窄了，但没有假装收窄就是归因。</w:t>
      </w:r>
      <w:r>
        <w:t xml:space="preserve"> </w:t>
      </w:r>
      <w:r>
        <w:t xml:space="preserve">剩余唯一候选 =</w:t>
      </w:r>
      <w:r>
        <w:t xml:space="preserve"> </w:t>
      </w:r>
      <w:r>
        <w:rPr>
          <w:bCs/>
          <w:b/>
        </w:rPr>
        <w:t xml:space="preserve">表示 / 架构侧</w:t>
      </w:r>
      <w:r>
        <w:t xml:space="preserve">；ES 这条关系性证据在当前条件下</w:t>
      </w:r>
      <w:r>
        <w:rPr>
          <w:bCs/>
          <w:b/>
        </w:rPr>
        <w:t xml:space="preserve">不可判定</w:t>
      </w:r>
      <w:r>
        <w:t xml:space="preserve">（只有 mistral-nemo 的熵可测）。⇒ 我们写的是"</w:t>
      </w:r>
      <w:r>
        <w:rPr>
          <w:bCs/>
          <w:b/>
        </w:rPr>
        <w:t xml:space="preserve">与注意力机制相容但本文未检验</w:t>
      </w:r>
      <w:r>
        <w:t xml:space="preserve">"，不是"我们证明了是注意力机制"。</w:t>
      </w:r>
    </w:p>
    <w:p>
      <w:pPr>
        <w:pStyle w:val="BodyText"/>
      </w:pPr>
      <w:r>
        <w:rPr>
          <w:bCs/>
          <w:b/>
        </w:rPr>
        <w:t xml:space="preserve">四、★ 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（在 K≤4 内</w:t>
      </w:r>
      <w:r>
        <w:rPr>
          <w:bCs/>
          <w:b/>
        </w:rPr>
        <w:t xml:space="preserve">未检出</w:t>
      </w:r>
      <w:r>
        <w:t xml:space="preserve">解码层采样能力饱和；在本批测量下</w:t>
      </w:r>
      <w:r>
        <w:rPr>
          <w:bCs/>
          <w:b/>
        </w:rPr>
        <w:t xml:space="preserve">未检出</w:t>
      </w:r>
      <w:r>
        <w:t xml:space="preserve">架构层增益）——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"识别了闭合发生在哪一层"（三轴中两轴已测，表征层待完成；§3.3 / §3.1b）。</w:t>
      </w:r>
    </w:p>
    <w:p>
      <w:pPr>
        <w:pStyle w:val="BodyText"/>
      </w:pPr>
      <w:r>
        <w:rPr>
          <w:bCs/>
          <w:b/>
        </w:rPr>
        <w:t xml:space="preserve">五、我们给出了一个反直觉的限定，它可能是本文最有用的一句话。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§7 里，并在 §5.5.1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65"/>
    <w:bookmarkStart w:id="66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§7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结论」之后、附录 A 之前）⇒ ★</w:t>
      </w:r>
      <w:r>
        <w:t xml:space="preserve"> </w:t>
      </w:r>
      <w:r>
        <w:rPr>
          <w:bCs/>
          <w:b/>
        </w:rPr>
        <w:t xml:space="preserve">§7 局限与否证条件、§8 结论的编号均不变</w:t>
      </w:r>
      <w:r>
        <w:t xml:space="preserve">；</w:t>
      </w:r>
      <w:r>
        <w:rPr>
          <w:bCs/>
          <w:b/>
        </w:rPr>
        <w:t xml:space="preserve">本节是 §7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：§7 局限表 L1–L14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§3.4 的 α 可复核性缺口 ＋ §3.5 的三项最低验证 ＋ §5.4 的跨厂商 ES 实验。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行「纯采样能拓开多少」与 §8 第五段「采样层能拓开条数」；L1 的否证条件是「补 K ∈ {8,16,32} 后若 α 掉到 &lt;0.5 ⇒ 解码层饱和成立、§5.1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 · 附录 A · §5.5.1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5 行「剩余唯一候选 = 表示 / 架构侧」与 §8 第三段；L2 的否证条件是「拿到内部激活访问权后仍测不到 ⇒ §5.1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归因只能停在排除法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L2 · 附录 A · §5.5.1 第 5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（唯一允许写法：「与注意力机制相容，但本文未检验该假设」）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§5.1 第 6 行与 §8 第二段的归因上限；★ 一旦违反 §1.2 的归因措辞红线（</w:t>
            </w:r>
            <w:r>
              <w:rPr>
                <w:bCs/>
                <w:b/>
              </w:rPr>
              <w:t xml:space="preserve">把成因直接归给注意力机制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L3 · §1.2 · §5.3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行的可推广性；L4 的否证条件是「在有外部可核验依据的域上复现后 α 显著偏离 ⇒ §5.1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L4 · §4.2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4 行的表述强度与 §8 第二段「架构层在本批测量下未检出与直调臂的差异」；L5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L5 · §5.3.1 · §5.5.1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L6 · §5.5.1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（§4.2 的三处口径 + §4.3）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全表（架构层结论可被翻转）；L7 的否证条件是「回溯修正后若架构层结论翻转 ⇒ §5.1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L7 · §4.2 · §4.3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的熵可测）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§5.4 与 §8 第三段「ES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L8 · §5.4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1、2 行中依赖"有效信息维度"的读数；L14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· §7 L14 · §5.1 第 1、2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§5.1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· 附录 A · §7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§5.3「解码层」行的排除强度（该行依据的原始记录属补跑批，现强度只写"方向一致"）；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§5.1b 的 H-2x2 判决；L12 的否证条件是「换成真实材料 + 每格题数对齐后结论若翻转 ⇒ §5.1b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L12 · §5.1b · §5.5.1 第 6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§5.1b 与 §8 第三段「剩余唯一候选 = 表示 / 架构侧」；L11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L11 · §5.1b · §5.5.1 第 6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（§7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L10 · 附录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§3.4 / §5.2）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7"/>
    <w:bookmarkStart w:id="6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  <w:r>
              <w:t xml:space="preserve">造成的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bookmarkEnd w:id="68"/>
    <w:bookmarkStart w:id="6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：提供"闭合"的可操作定义与分层协议，供 A / B / D 篇引用。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src-sha256:11d978689130d03ac000fa092447a20b761b13694c65c0a8121889130c0faf72</cp:keywords>
  <dcterms:created xsi:type="dcterms:W3CDTF">2026-10-24T17:26:35Z</dcterms:created>
  <dcterms:modified xsi:type="dcterms:W3CDTF">2026-10-24T17:26:35Z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