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selection-is-not-creation"/>
    <w:p>
      <w:pPr>
        <w:pStyle w:val="Heading1"/>
      </w:pPr>
      <w:r>
        <w:t xml:space="preserve">Selection Is Not Creation</w:t>
      </w:r>
    </w:p>
    <w:bookmarkStart w:id="20" w:name="外部可核验判据下的-llm-创造力方法评测工作流方法的负增益与选赢家过拟合"/>
    <w:p>
      <w:pPr>
        <w:pStyle w:val="Heading2"/>
      </w:pPr>
      <w:r>
        <w:t xml:space="preserve">外部可核验判据下的 LLM 创造力方法评测：工作流方法的负增益与"选赢家"过拟合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LLM 创造力研究普遍采用同一套评测范式：在少量题目上比较若干「多 Agent 工作流」变体，挑出分数最高的那个，然后报告它的增益。在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）。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</w:t>
      </w:r>
    </w:p>
    <w:p>
      <w:pPr>
        <w:pStyle w:val="BodyText"/>
      </w:pP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在只测了『新增』侧、且在【推导唯一】任务域上的一次直调，每份有效产出（2.65）高于本轮所测工作流臂（dual_select 2.10、dual_fuse 1.36）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净增益口径未完成（未算『丢失』侧）⇒ 这不是"架构层净收益为负"的一般结论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</w:t>
      </w:r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bookmarkEnd w:id="22"/>
    <w:bookmarkStart w:id="23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本文的论点不是"某个方法不行"。论点是：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3"/>
    <w:bookmarkStart w:id="24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4.65→8.08），而【prompt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bookmarkEnd w:id="24"/>
    <w:bookmarkStart w:id="25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27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27"/>
    <w:bookmarkStart w:id="28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📄</w:t>
      </w:r>
      <w:r>
        <w:t xml:space="preserve"> </w:t>
      </w:r>
      <w:r>
        <w:t xml:space="preserve">外部佐证（arXiv:2607.26899）："AI ideation compressed collective diversity for everyone, whereas AI refinement preserved both"。这与本文 §5.2 观测到的"工作流层（refinement 型链路）净收益为负"方向一致。</w:t>
      </w:r>
    </w:p>
    <w:bookmarkEnd w:id="28"/>
    <w:bookmarkStart w:id="29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29"/>
    <w:bookmarkStart w:id="30" w:name="与本文的差别"/>
    <w:p>
      <w:pPr>
        <w:pStyle w:val="Heading3"/>
      </w:pPr>
      <w:r>
        <w:t xml:space="preserve">2.4 与本文的差别</w:t>
      </w:r>
    </w:p>
    <w:p>
      <w:pPr>
        <w:pStyle w:val="FirstParagraph"/>
      </w:pPr>
      <w:r>
        <w:t xml:space="preserve">本文不提出新的创造力方法。</w:t>
      </w:r>
      <w:r>
        <w:rPr>
          <w:bCs/>
          <w:b/>
        </w:rPr>
        <w:t xml:space="preserve">它提出的是一个判定程序</w:t>
      </w:r>
      <w:r>
        <w:t xml:space="preserve">：如何知道一个方法是否真的有用。第 C 篇（position）将给出完整的规程与六个真实失效案例。</w:t>
      </w:r>
    </w:p>
    <w:bookmarkEnd w:id="30"/>
    <w:bookmarkStart w:id="31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rPr>
          <w:bCs/>
          <w:b/>
        </w:rPr>
        <w:t xml:space="preserve"> </w:t>
      </w:r>
      <w:r>
        <w:rPr>
          <w:bCs/>
          <w:b/>
        </w:rPr>
        <w:t xml:space="preserve">⇒ ⇒ ⇒ ★★★★</w:t>
      </w:r>
      <w:r>
        <w:rPr>
          <w:bCs/>
          <w:b/>
        </w:rPr>
        <w:t xml:space="preserve"> </w:t>
      </w:r>
      <w:r>
        <w:t xml:space="preserve">★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调用量</w:t>
      </w:r>
      <w:r>
        <w:t xml:space="preserve">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方法"/>
    <w:p>
      <w:pPr>
        <w:pStyle w:val="Heading2"/>
      </w:pPr>
      <w:r>
        <w:t xml:space="preserve">3. 方法</w:t>
      </w:r>
    </w:p>
    <w:bookmarkStart w:id="33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33"/>
    <w:bookmarkStart w:id="34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34"/>
    <w:bookmarkStart w:id="35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35"/>
    <w:bookmarkStart w:id="36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36"/>
    <w:bookmarkStart w:id="37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37"/>
    <w:bookmarkStart w:id="38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38"/>
    <w:bookmarkStart w:id="39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39"/>
    <w:bookmarkStart w:id="42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40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。**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40"/>
    <w:bookmarkStart w:id="41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实验设置"/>
    <w:p>
      <w:pPr>
        <w:pStyle w:val="Heading2"/>
      </w:pPr>
      <w:r>
        <w:t xml:space="preserve">4. 实验设置</w:t>
      </w:r>
    </w:p>
    <w:bookmarkStart w:id="44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44"/>
    <w:bookmarkStart w:id="45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45"/>
    <w:bookmarkStart w:id="46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46"/>
    <w:bookmarkStart w:id="47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47"/>
    <w:bookmarkStart w:id="48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48"/>
    <w:bookmarkStart w:id="49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7" w:name="结果"/>
    <w:p>
      <w:pPr>
        <w:pStyle w:val="Heading2"/>
      </w:pPr>
      <w:r>
        <w:t xml:space="preserve">5. 结果</w:t>
      </w:r>
    </w:p>
    <w:bookmarkStart w:id="51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51"/>
    <w:bookmarkStart w:id="56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52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52"/>
    <w:bookmarkStart w:id="53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09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"13 道题是否足以代表目标分布"这一问题本文无法判定</w:t>
      </w:r>
      <w:r>
        <w:t xml:space="preserve">，只能登记为未做 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53"/>
    <w:bookmarkStart w:id="54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54"/>
    <w:bookmarkStart w:id="55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55"/>
    <w:bookmarkEnd w:id="56"/>
    <w:bookmarkStart w:id="57" w:name="Xa13cc90bc473ccd9a05fcc0f77114f681ff7ea9"/>
    <w:p>
      <w:pPr>
        <w:pStyle w:val="Heading3"/>
      </w:pPr>
      <w:r>
        <w:t xml:space="preserve">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架构层的净收益为负（本批本域本口径；</w:t>
      </w:r>
      <w:r>
        <w:rPr>
          <w:bCs/>
          <w:b/>
        </w:rPr>
        <w:t xml:space="preserve">净增益口径未完成：只测了『新增』侧、未算『丢失』侧</w:t>
      </w:r>
      <w:r>
        <w:t xml:space="preserve"> </w:t>
      </w:r>
      <w:r>
        <w:t xml:space="preserve">⇒ 不作一般结论）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End w:id="57"/>
    <w:bookmarkStart w:id="58" w:name="r3-分支数与质量程序几乎不产生增益"/>
    <w:p>
      <w:pPr>
        <w:pStyle w:val="Heading3"/>
      </w:pPr>
      <w:r>
        <w:t xml:space="preserve">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58"/>
    <w:bookmarkStart w:id="59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59"/>
    <w:bookmarkStart w:id="60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60"/>
    <w:bookmarkStart w:id="61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61"/>
    <w:bookmarkStart w:id="62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62"/>
    <w:bookmarkStart w:id="63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63"/>
    <w:bookmarkStart w:id="64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64"/>
    <w:bookmarkStart w:id="65" w:name="本文的正式结论窄表述-这句话是本文对外的唯一结论句"/>
    <w:p>
      <w:pPr>
        <w:pStyle w:val="Heading3"/>
      </w:pPr>
      <w:r>
        <w:t xml:space="preserve">5.9 ★★ 本文的正式结论（窄表述 —— 这句话是本文对外的</w:t>
      </w:r>
      <w:r>
        <w:rPr>
          <w:bCs/>
          <w:b/>
        </w:rPr>
        <w:t xml:space="preserve">唯一</w:t>
      </w:r>
      <w:r>
        <w:t xml:space="preserve">结论句）</w:t>
      </w:r>
    </w:p>
    <w:p>
      <w:pPr>
        <w:pStyle w:val="BlockText"/>
      </w:pP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</w:p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同调（2026-10-24 外部审稿后收窄；与【摘要第 1 段】与【§1.2 P1】逐字同口径）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口径限定（与摘要同调）</w:t>
      </w:r>
      <w:r>
        <w:t xml:space="preserve">：</w:t>
      </w:r>
      <w:r>
        <w:rPr>
          <w:bCs/>
          <w:b/>
        </w:rPr>
        <w:t xml:space="preserve">净增益口径未完成（本批只测了『新增』侧、未算『丢失』侧）⇒ 上述读数只描述本批、本域、本口径的方向，不作一般结论</w:t>
      </w:r>
      <w:r>
        <w:t xml:space="preserve">（§7 局限 11、局限 25）⇒ ⇒ 且 §5 R2 / R3 / R4 的 dual 臂数字</w:t>
      </w:r>
      <w:r>
        <w:rPr>
          <w:bCs/>
          <w:b/>
        </w:rPr>
        <w:t xml:space="preserve">未按 4 支口径重算</w:t>
      </w:r>
      <w:r>
        <w:t xml:space="preserve">（型号池静默下架，见附录 D.1）⇒ ⇒ ★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（§7 局限 17 / 缺口 G1）⇒ 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为什么必须用窄表述（三条理由，照纪律写清）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5"/>
    <w:bookmarkStart w:id="66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66"/>
    <w:bookmarkEnd w:id="67"/>
    <w:bookmarkStart w:id="71" w:name="讨论"/>
    <w:p>
      <w:pPr>
        <w:pStyle w:val="Heading2"/>
      </w:pPr>
      <w:r>
        <w:t xml:space="preserve">6. 讨论</w:t>
      </w:r>
    </w:p>
    <w:bookmarkStart w:id="68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bookmarkEnd w:id="68"/>
    <w:bookmarkStart w:id="69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69"/>
    <w:bookmarkStart w:id="70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局限"/>
    <w:p>
      <w:pPr>
        <w:pStyle w:val="Heading2"/>
      </w:pPr>
      <w:r>
        <w:t xml:space="preserve">7. 局限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净增益只测了"新增"侧</w:t>
      </w:r>
      <w:r>
        <w:t xml:space="preserve">。外部只读审计指出：净增益必须是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（基线提到而工作流没提的东西，同样是损失）。本轮的指标体系</w:t>
      </w:r>
      <w:r>
        <w:rPr>
          <w:bCs/>
          <w:b/>
        </w:rPr>
        <w:t xml:space="preserve">没有测"丢失"侧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一个臂完全可能"新增很多 + 丢光基线里的东西"而本文的指标看不出来</w:t>
      </w:r>
      <w:r>
        <w:t xml:space="preserve">。这是</w:t>
      </w:r>
      <w:r>
        <w:rPr>
          <w:bCs/>
          <w:b/>
        </w:rPr>
        <w:t xml:space="preserve">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72"/>
    <w:bookmarkStart w:id="78" w:name="待完成清单"/>
    <w:p>
      <w:pPr>
        <w:pStyle w:val="Heading2"/>
      </w:pPr>
      <w:r>
        <w:t xml:space="preserve">8. 待完成清单</w:t>
      </w:r>
    </w:p>
    <w:bookmarkStart w:id="74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10 的唯一出路。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：基线（直调）提到的事实集合 vs 工作流提到的，差集两侧都算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73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5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6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6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6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6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18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73"/>
    <w:bookmarkEnd w:id="74"/>
    <w:bookmarkStart w:id="75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75"/>
    <w:bookmarkStart w:id="76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76"/>
    <w:bookmarkStart w:id="77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9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9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9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9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  <w:r>
              <w:t xml:space="preserve">（基线提到的 vs 工作流提到的，差集两侧都算）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R2「架构层的净收益为负」这一读数的</w:t>
            </w:r>
            <w:r>
              <w:rPr>
                <w:bCs/>
                <w:b/>
              </w:rPr>
              <w:t xml:space="preserve">口径缺口</w:t>
            </w:r>
            <w:r>
              <w:t xml:space="preserve">（只测了『新增』侧）；</w:t>
            </w:r>
            <w:r>
              <w:rPr>
                <w:bCs/>
                <w:b/>
              </w:rPr>
              <w:t xml:space="preserve">不做 ⇒ 本文不得写"净收益为负"这类依赖绝对值与分母的一般结论</w:t>
            </w:r>
            <w:r>
              <w:t xml:space="preserve">（§7 局限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80"/>
    <w:bookmarkStart w:id="81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1"/>
    <w:bookmarkStart w:id="82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82"/>
    <w:bookmarkStart w:id="90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83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83"/>
    <w:bookmarkStart w:id="84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84"/>
    <w:bookmarkStart w:id="85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85"/>
    <w:bookmarkStart w:id="86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86"/>
    <w:bookmarkStart w:id="87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净增益（新增 − 丢失）未测</w:t>
      </w:r>
      <w:r>
        <w:t xml:space="preserve">（本文 §7 局限 11）：本轮只测了"新增"侧 ⇒</w:t>
      </w:r>
      <w:r>
        <w:t xml:space="preserve"> </w:t>
      </w:r>
      <w:r>
        <w:rPr>
          <w:bCs/>
          <w:b/>
        </w:rPr>
        <w:t xml:space="preserve">"新增很多 + 丢光基线"看不出来</w:t>
      </w:r>
      <w:r>
        <w:t xml:space="preserve">。⇒ 这一条是</w:t>
      </w:r>
      <w:r>
        <w:rPr>
          <w:bCs/>
          <w:b/>
        </w:rPr>
        <w:t xml:space="preserve">结构性缺失，不是 bug</w:t>
      </w:r>
      <w:r>
        <w:t xml:space="preserve">。</w:t>
      </w:r>
    </w:p>
    <w:bookmarkEnd w:id="87"/>
    <w:bookmarkStart w:id="88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架构层的净收益为负（direct 每份有效产出最高；融合门矛盾率 10.5×）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88"/>
    <w:bookmarkStart w:id="89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src-sha256:5c6c210ce7a9db1769470730da2c31d0c50114af5a5e268e84b3c8dfed2d4ba8</cp:keywords>
  <dcterms:created xsi:type="dcterms:W3CDTF">2026-10-24T17:26:36Z</dcterms:created>
  <dcterms:modified xsi:type="dcterms:W3CDTF">2026-10-24T17:26:36Z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