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（§3.3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；但</w:t>
            </w:r>
            <w:r>
              <w:rPr>
                <w:bCs/>
                <w:b/>
              </w:rPr>
              <w:t xml:space="preserve">预注册文档未写</w:t>
            </w:r>
            <w:r>
              <w:t xml:space="preserve">（稿内写"预注册待触发"），样本量未写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src-sha256:d4d78c36b13b88ecd01d7711af065ad9165b4ac7db77d24cfc33568e3b76410c</cp:keywords>
  <dcterms:created xsi:type="dcterms:W3CDTF">2026-10-24T17:26:45Z</dcterms:created>
  <dcterms:modified xsi:type="dcterms:W3CDTF">2026-10-24T17:26:45Z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