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llm-agent-创造力机制-科研过程数据包"/>
    <w:p>
      <w:pPr>
        <w:pStyle w:val="Heading1"/>
      </w:pPr>
      <w:r>
        <w:t xml:space="preserve">LLM Agent 创造力机制 · 科研过程数据包</w:t>
      </w:r>
    </w:p>
    <w:p>
      <w:pPr>
        <w:pStyle w:val="FirstParagraph"/>
      </w:pPr>
      <w:r>
        <w:rPr>
          <w:bCs/>
          <w:b/>
        </w:rPr>
        <w:t xml:space="preserve">这不是论文集。</w:t>
      </w:r>
      <w:r>
        <w:t xml:space="preserve"> </w:t>
      </w:r>
      <w:r>
        <w:t xml:space="preserve">这是一份</w:t>
      </w:r>
      <w:r>
        <w:rPr>
          <w:bCs/>
          <w:b/>
        </w:rPr>
        <w:t xml:space="preserve">过程数据</w:t>
      </w:r>
      <w:r>
        <w:t xml:space="preserve">包：读数、出处链、判据定义、审计轨迹、待取证任务、以及阴性结果。</w:t>
      </w:r>
      <w:r>
        <w:t xml:space="preserve"> </w:t>
      </w:r>
      <w:r>
        <w:t xml:space="preserve">叙述性的结论文档在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，它们是</w:t>
      </w:r>
      <w:r>
        <w:rPr>
          <w:bCs/>
          <w:b/>
        </w:rPr>
        <w:t xml:space="preserve">过程记录</w:t>
      </w:r>
      <w:r>
        <w:t xml:space="preserve">，其中包含</w:t>
      </w:r>
      <w:r>
        <w:rPr>
          <w:bCs/>
          <w:b/>
        </w:rPr>
        <w:t xml:space="preserve">未经外部同行评议</w:t>
      </w:r>
      <w:r>
        <w:t xml:space="preserve">的结论陈述。</w:t>
      </w:r>
    </w:p>
    <w:p>
      <w:pPr>
        <w:pStyle w:val="BodyText"/>
      </w:pPr>
      <w:r>
        <w:t xml:space="preserve">MIT License ｜ 数据快照 2026-10-25 ｜ 面向第三方复算、审计与再利用</w:t>
      </w:r>
    </w:p>
    <w:p>
      <w:r>
        <w:pict>
          <v:rect style="width:0;height:1.5pt" o:hralign="center" o:hrstd="t" o:hr="t"/>
        </w:pict>
      </w:r>
    </w:p>
    <w:bookmarkStart w:id="20" w:name="为什么以数据形态发布"/>
    <w:p>
      <w:pPr>
        <w:pStyle w:val="Heading2"/>
      </w:pPr>
      <w:r>
        <w:t xml:space="preserve">为什么以数据形态发布</w:t>
      </w:r>
    </w:p>
    <w:p>
      <w:pPr>
        <w:pStyle w:val="FirstParagraph"/>
      </w:pPr>
      <w:r>
        <w:t xml:space="preserve">这项工作的实际产物不是几篇成稿，而是</w:t>
      </w:r>
      <w:r>
        <w:rPr>
          <w:bCs/>
          <w:b/>
        </w:rPr>
        <w:t xml:space="preserve">一批带出处链的读数</w:t>
      </w:r>
      <w:r>
        <w:t xml:space="preserve">和</w:t>
      </w:r>
      <w:r>
        <w:rPr>
          <w:bCs/>
          <w:b/>
        </w:rPr>
        <w:t xml:space="preserve">一批被判为「不可分辨」的负结果</w:t>
      </w:r>
      <w:r>
        <w:t xml:space="preserve">。</w:t>
      </w:r>
      <w:r>
        <w:t xml:space="preserve"> </w:t>
      </w:r>
      <w:r>
        <w:t xml:space="preserve">后者在成稿里只能占一行，在数据形态下才是可检索、可统计、可复用的对象。</w:t>
      </w:r>
    </w:p>
    <w:p>
      <w:pPr>
        <w:pStyle w:val="BodyText"/>
      </w:pPr>
      <w:r>
        <w:t xml:space="preserve">所以本仓的定位从「成果展示」改成「</w:t>
      </w:r>
      <w:r>
        <w:rPr>
          <w:bCs/>
          <w:b/>
        </w:rPr>
        <w:t xml:space="preserve">过程数据仓库</w:t>
      </w:r>
      <w:r>
        <w:t xml:space="preserve">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原来的做法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仓里放什么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只放成果（正文），过程日志与跑批输出留在私有仓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过程数据本身就是产物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读数能不能被程序读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散在散文里，只能人读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，逐行带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阴性结果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埋在正文某段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data/negative_results.jsonl</w:t>
            </w:r>
            <w:r>
              <w:t xml:space="preserve">（475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待取证任务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散在各篇的表格里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data/open_tasks.jsonl</w:t>
            </w:r>
            <w:r>
              <w:t xml:space="preserve">（45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，靠人记得跑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</w:t>
            </w:r>
            <w:r>
              <w:rPr>
                <w:rStyle w:val="VerbatimChar"/>
              </w:rPr>
              <w:t xml:space="preserve">run_finalize.sh</w:t>
            </w:r>
            <w:r>
              <w:t xml:space="preserve"> </w:t>
            </w:r>
            <w:r>
              <w:t xml:space="preserve">一条命令跑完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判据能不能信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每个判据</w:t>
            </w:r>
            <w:r>
              <w:rPr>
                <w:bCs/>
                <w:b/>
              </w:rPr>
              <w:t xml:space="preserve">配负向测试</w:t>
            </w:r>
            <w:r>
              <w:t xml:space="preserve">（篡改一下必须能红）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数据地图"/>
    <w:p>
      <w:pPr>
        <w:pStyle w:val="Heading2"/>
      </w:pPr>
      <w:r>
        <w:t xml:space="preserve">数据地图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机器可读的过程数据</w:t>
            </w:r>
            <w:r>
              <w:t xml:space="preserve">（6 个数据集，2,329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</w:t>
            </w:r>
            <w:r>
              <w:t xml:space="preserve"> </w:t>
            </w:r>
            <w:r>
              <w:rPr>
                <w:rStyle w:val="VerbatimChar"/>
              </w:rPr>
              <w:t xml:space="preserve">json.loads</w:t>
            </w:r>
            <w:r>
              <w:t xml:space="preserve"> </w:t>
            </w:r>
            <w:r>
              <w:t xml:space="preserve">每行；索引见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DATASETS.md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判据、抽取器、复算脚本、打包器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全部离线可跑；多数不耗 token、不需要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叙述层</w:t>
            </w:r>
            <w:r>
              <w:t xml:space="preserve">：五篇结论文档 + 详稿 + 审稿/改稿留痕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当过程记录读，</w:t>
            </w:r>
            <w:r>
              <w:rPr>
                <w:bCs/>
                <w:b/>
              </w:rPr>
              <w:t xml:space="preserve">不要当投稿件引用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总纲、缺口清单、待填审计、回源对照表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判定「哪些结论现在能下」的依据表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一手材料（各组原始产出与底稿）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出处链的终点；2 组的历史产出 128 个文件在这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改写前正文快照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「读数是新增还是沿用」的比对基准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证据与底稿</w:t>
            </w:r>
            <w:r>
              <w:t xml:space="preserve"> </w:t>
            </w:r>
            <w:r>
              <w:t xml:space="preserve">相关脚本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复算（第四组 McNemar 三项、② 篇净增益双边重算）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四篇正文合订本_2026-10-25.md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五篇合订本（单文件）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只想读结论的人从这里进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三种用法"/>
    <w:p>
      <w:pPr>
        <w:pStyle w:val="Heading2"/>
      </w:pPr>
      <w:r>
        <w:t xml:space="preserve">三种用法</w:t>
      </w:r>
    </w:p>
    <w:bookmarkStart w:id="23" w:name="跑判据验证这份数据自洽"/>
    <w:p>
      <w:pPr>
        <w:pStyle w:val="Heading3"/>
      </w:pPr>
      <w:r>
        <w:t xml:space="preserve">1) 跑判据（验证这份数据自洽）</w:t>
      </w:r>
    </w:p>
    <w:p>
      <w:pPr>
        <w:pStyle w:val="SourceCode"/>
      </w:pPr>
      <w:r>
        <w:rPr>
          <w:rStyle w:val="CommentTok"/>
        </w:rPr>
        <w:t xml:space="preserve"># 全量收口：重建 docx → 跑全部判据 → 跑负向测试 → 打包 → 交付态复跑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tools/run_finalize.sh</w:t>
      </w:r>
      <w:r>
        <w:br/>
      </w:r>
      <w:r>
        <w:br/>
      </w:r>
      <w:r>
        <w:rPr>
          <w:rStyle w:val="CommentTok"/>
        </w:rPr>
        <w:t xml:space="preserve"># 只跑数据包的校验器（逐条回源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bookmarkEnd w:id="23"/>
    <w:bookmarkStart w:id="24" w:name="复算读数"/>
    <w:p>
      <w:pPr>
        <w:pStyle w:val="Heading3"/>
      </w:pPr>
      <w:r>
        <w:t xml:space="preserve">2) 复算读数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每条带 sources: [{file, line, class}, ...] ⇒ 第三方可自己去那一行核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</w:p>
    <w:bookmarkEnd w:id="24"/>
    <w:bookmarkStart w:id="25" w:name="查某个读数从哪来"/>
    <w:p>
      <w:pPr>
        <w:pStyle w:val="Heading3"/>
      </w:pPr>
      <w:r>
        <w:t xml:space="preserve">3) 查某个读数从哪来</w:t>
      </w:r>
    </w:p>
    <w:p>
      <w:pPr>
        <w:pStyle w:val="SourceCode"/>
      </w:pP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每条：paper / file / line / section / markers / numbers / text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数据集索引"/>
    <w:p>
      <w:pPr>
        <w:pStyle w:val="Heading2"/>
      </w:pPr>
      <w:r>
        <w:t xml:space="preserve">数据集索引</w:t>
      </w:r>
    </w:p>
    <w:p>
      <w:pPr>
        <w:pStyle w:val="FirstParagraph"/>
      </w:pPr>
      <w:r>
        <w:t xml:space="preserve">见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DATASETS.md</w:t>
        </w:r>
      </w:hyperlink>
      <w:r>
        <w:t xml:space="preserve">（由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自动生成，勿手改）。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读数全集：token × 篇，含出处与出处等级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阴性/未定结果行（不可分辨、未测、未检出…）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待取证任务（要补什么 / 去哪找 / 判据 / 回填后影响 / 成本）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审稿逐条判定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每次判定的</w:t>
            </w:r>
            <w:r>
              <w:rPr>
                <w:bCs/>
                <w:b/>
              </w:rPr>
              <w:t xml:space="preserve">被审对象身份</w:t>
            </w:r>
            <w:r>
              <w:t xml:space="preserve">（sha）—— 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指针迁移 25 条（原样保留）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出处等级</w:t>
      </w:r>
      <w:r>
        <w:t xml:space="preserve">：</w:t>
      </w:r>
      <w:r>
        <w:rPr>
          <w:rStyle w:val="VerbatimChar"/>
        </w:rPr>
        <w:t xml:space="preserve">一手材料</w:t>
      </w:r>
      <w:r>
        <w:t xml:space="preserve">（在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里）&gt;</w:t>
      </w:r>
      <w:r>
        <w:t xml:space="preserve"> </w:t>
      </w:r>
      <w:r>
        <w:rPr>
          <w:rStyle w:val="VerbatimChar"/>
        </w:rPr>
        <w:t xml:space="preserve">审稿留痕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复算底稿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改稿规格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前作基线</w:t>
      </w:r>
      <w:r>
        <w:t xml:space="preserve">。</w:t>
      </w:r>
      <w:r>
        <w:t xml:space="preserve"> </w:t>
      </w:r>
      <w:r>
        <w:t xml:space="preserve">规则细节见</w:t>
      </w:r>
      <w:r>
        <w:t xml:space="preserve"> </w:t>
      </w:r>
      <w:hyperlink r:id="rId27">
        <w:r>
          <w:rPr>
            <w:rStyle w:val="Hyperlink"/>
          </w:rPr>
          <w:t xml:space="preserve">PROVENANCE.md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叙述层五篇结论文档-过程记录不是投稿件"/>
    <w:p>
      <w:pPr>
        <w:pStyle w:val="Heading2"/>
      </w:pPr>
      <w:r>
        <w:t xml:space="preserve">叙述层：五篇结论文档（= 过程记录，不是投稿件）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「看起来完成」与「被独立验证过」之间有系统性落差；给出可执行防伪规程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成稿（position paper，无主实验）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在有外部可核验依据的域上，工作流类创造力方法不产生增量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结论为</w:t>
            </w:r>
            <w:r>
              <w:rPr>
                <w:bCs/>
                <w:b/>
              </w:rPr>
              <w:t xml:space="preserve">窄表述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当前形态的状态机</w:t>
            </w:r>
            <w:r>
              <w:rPr>
                <w:bCs/>
                <w:b/>
              </w:rPr>
              <w:t xml:space="preserve">未被证明</w:t>
            </w:r>
            <w:r>
              <w:t xml:space="preserve">优于等强度提示词 —— 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「闭合」是相对于参照系的可证伪命题；三层分离协议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  <w:r>
              <w:rPr>
                <w:bCs/>
                <w:b/>
              </w:rPr>
              <w:t xml:space="preserve">混合</w:t>
            </w:r>
            <w:r>
              <w:t xml:space="preserve">（表述层成立 / 解码层否定 / 注意力归因不支持）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自迭代/学习路线的机制与边界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为什么切成五件而不是一件</w:t>
      </w:r>
      <w:r>
        <w:t xml:space="preserve">：合并的诱惑来自「材料都在手上」，不是来自「科学上该合」。</w:t>
      </w:r>
      <w:r>
        <w:t xml:space="preserve"> </w:t>
      </w:r>
      <w:r>
        <w:t xml:space="preserve">切分标准是「一件 = 一个可独立检验的 claim」，且须同时满足 独立判据 / 独立数据 / 独立论点。</w:t>
      </w:r>
    </w:p>
    <w:p>
      <w:pPr>
        <w:pStyle w:val="BodyText"/>
      </w:pPr>
      <w:r>
        <w:rPr>
          <w:bCs/>
          <w:b/>
        </w:rPr>
        <w:t xml:space="preserve">①篇有两件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（主稿，五章结构）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papers/01_L1_注意力层归因_详稿_2026-10-25.md</w:t>
      </w:r>
      <w:r>
        <w:t xml:space="preserve">（详稿，含数字台账、机制假说 H1–H7、引用要求）。</w:t>
      </w:r>
    </w:p>
    <w:p>
      <w:r>
        <w:pict>
          <v:rect style="width:0;height:1.5pt" o:hralign="center" o:hrstd="t" o:hr="t"/>
        </w:pict>
      </w:r>
    </w:p>
    <w:bookmarkEnd w:id="29"/>
    <w:bookmarkStart w:id="30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t xml:space="preserve">这三条不是某一篇的内部问题，而是跨篇共享、且会改变读者对结论强度判断的事实。</w:t>
      </w:r>
      <w:r>
        <w:t xml:space="preserve"> </w:t>
      </w:r>
      <w: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过滤，5 支静默变 4 支，表上看不出来。</w:t>
      </w:r>
      <w:r>
        <w:t xml:space="preserve"> </w:t>
      </w:r>
      <w:r>
        <w:t xml:space="preserve">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支）同为死型号，任何声称用满 6 支的场合，读数都要先核支数是否真为 6。</w:t>
      </w:r>
      <w:r>
        <w:t xml:space="preserve"> </w:t>
      </w:r>
      <w:r>
        <w:t xml:space="preserve">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因此作废（它算在 4 支口径下），对照域必须重跑。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全仓没有任何注意力权重 / logits / hidden state / 内部激活数据；托管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</w:t>
      </w:r>
      <w:r>
        <w:t xml:space="preserve"> </w:t>
      </w:r>
      <w:r>
        <w:t xml:space="preserve">NLL / perplexity / typicality / PMI 全族作废；无 GPU。唯一允许的写法：</w:t>
      </w:r>
      <w:r>
        <w:t xml:space="preserve"> </w:t>
      </w:r>
      <w:r>
        <w:rPr>
          <w:bCs/>
          <w:b/>
        </w:rPr>
        <w:t xml:space="preserve">「与注意力机制相容，但本文未检验该假设」</w:t>
      </w:r>
      <w:r>
        <w:t xml:space="preserve">。这是能力边界，不是未尝试。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凡报「不可分辨」，必须同时报检出力地板；门槛锚在本批自己的噪声地板，不许拿文献阈值当判决线；</w:t>
      </w:r>
      <w:r>
        <w:t xml:space="preserve"> </w:t>
      </w:r>
      <w:r>
        <w:t xml:space="preserve">方向一致只能作辅助条件且须先过 H0 标定。H0 的唯一合法来源 = 同臂、同题、不同 rep</w:t>
      </w:r>
      <w:r>
        <w:t xml:space="preserve"> </w:t>
      </w:r>
      <w:r>
        <w:t xml:space="preserve">（rep 差异是纯噪声，天然零分布）。</w:t>
      </w:r>
      <w:r>
        <w:rPr>
          <w:rStyle w:val="VerbatimChar"/>
        </w:rPr>
        <w:t xml:space="preserve">θ₀</w:t>
      </w:r>
      <w:r>
        <w:t xml:space="preserve"> </w:t>
      </w:r>
      <w:r>
        <w:t xml:space="preserve">以题内 rep σ 为单位（如 θ₀ = 1.33 σ），</w:t>
      </w:r>
      <w:r>
        <w:t xml:space="preserve"> </w:t>
      </w:r>
      <w:r>
        <w:t xml:space="preserve">引用时必须写成「≥ θ₀ 个题内 rep σ」，否则会被误读成绝对阈值。</w:t>
      </w:r>
    </w:p>
    <w:p>
      <w:r>
        <w:pict>
          <v:rect style="width:0;height:1.5pt" o:hralign="center" o:hrstd="t" o:hr="t"/>
        </w:pict>
      </w:r>
    </w:p>
    <w:bookmarkEnd w:id="30"/>
    <w:bookmarkStart w:id="31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判据已定版，等跑批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）给出每个头条数字到源文件行号的对照，84 / 84 定位命中。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）把全部真实待办逐条分级：24 条</w:t>
      </w:r>
      <w:r>
        <w:t xml:space="preserve"> 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判据已定版 10 条、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形式待补 5 条、未成文或当前条件下不可判定 9 条）。</w:t>
      </w:r>
      <w:r>
        <w:t xml:space="preserve"> </w:t>
      </w:r>
      <w:r>
        <w:t xml:space="preserve">判据定版状态是可核验的表，不是口头承诺。</w:t>
      </w:r>
    </w:p>
    <w:p>
      <w:r>
        <w:pict>
          <v:rect style="width:0;height:1.5pt" o:hralign="center" o:hrstd="t" o:hr="t"/>
        </w:pict>
      </w:r>
    </w:p>
    <w:bookmarkEnd w:id="31"/>
    <w:bookmarkStart w:id="32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重建全部 DOCX（构建参数固化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完整性校验（每个受管文件一行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4) 数据包校验（逐条回源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t xml:space="preserve"> </w:t>
      </w:r>
      <w:r>
        <w:t xml:space="preserve">同一份 md 在不同机器、不同 pandoc 版本下可能产出不同的 docx，外部就复核不了我们交付的 docx。</w:t>
      </w:r>
      <w:r>
        <w:t xml:space="preserve"> </w:t>
      </w:r>
      <w:r>
        <w:t xml:space="preserve">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，md 与 docx 逐字一致，「单元格零丢失」才是个真判据。</w:t>
      </w:r>
    </w:p>
    <w:p>
      <w:pPr>
        <w:pStyle w:val="BodyText"/>
      </w:pPr>
      <w:r>
        <w:rPr>
          <w:bCs/>
          <w:b/>
        </w:rPr>
        <w:t xml:space="preserve">打包规则</w:t>
      </w:r>
      <w:r>
        <w:t xml:space="preserve">：交付包的内容集合由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定义 ⇒</w:t>
      </w:r>
      <w:r>
        <w:t xml:space="preserve"> </w:t>
      </w:r>
      <w:r>
        <w:rPr>
          <w:bCs/>
          <w:b/>
        </w:rPr>
        <w:t xml:space="preserve">先 commit，再打包，再自检</w:t>
      </w:r>
      <w:r>
        <w:t xml:space="preserve">。</w:t>
      </w:r>
      <w:r>
        <w:t xml:space="preserve"> </w:t>
      </w:r>
      <w:r>
        <w:t xml:space="preserve">顺序反了会出现「包里少文件、而自检照样全绿」。</w:t>
      </w:r>
    </w:p>
    <w:p>
      <w:r>
        <w:pict>
          <v:rect style="width:0;height:1.5pt" o:hralign="center" o:hrstd="t" o:hr="t"/>
        </w:pict>
      </w:r>
    </w:p>
    <w:bookmarkEnd w:id="32"/>
    <w:bookmarkStart w:id="33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已分级公开（</w:t>
            </w:r>
            <w:r>
              <w:rPr>
                <w:rStyle w:val="VerbatimChar"/>
              </w:rPr>
              <w:t xml:space="preserve">support/07_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 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没有主实验。交付形态是规程 + 六个真实失效案例 + 一套可执行审计协议，不是已被验证能提升准确率的结论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不是「架构没用」，而是「架构的杠杆是【交互结构 × 任务结构】的交互，且二者必须分开测」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注意力归因不支持，必须拆开写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「当前形态的状态机未被证明优于等强度提示词」不等于「状态驱动这条路无效」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②篇批 2 的逐条判决客观不可达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三处查证留痕：仓内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无、两个 drive 包无、GitHub</w:t>
            </w:r>
            <w:r>
              <w:t xml:space="preserve"> </w:t>
            </w:r>
            <w:r>
              <w:rPr>
                <w:rStyle w:val="VerbatimChar"/>
              </w:rPr>
              <w:t xml:space="preserve">cmp8-handover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gitignore。判决维持「不可分辨」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 α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0.886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0.944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取数脚本与机读数据未随稿归档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部分读数不能由包内完全复现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缺陷，已披露，不改口径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 审稿 PASS 的效力边界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绑的是当时的包 sha 与当时的五篇 sha。措辞与结构重写后，</w:t>
            </w:r>
            <w:r>
              <w:rPr>
                <w:bCs/>
                <w:b/>
              </w:rPr>
              <w:t xml:space="preserve">只在读数与判决层覆盖，逐字层不适用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本仓是过程数据快照，不是终稿。</w:t>
      </w:r>
      <w:r>
        <w:t xml:space="preserve"> </w:t>
      </w:r>
      <w:r>
        <w:t xml:space="preserve">终稿的剩余工作及其阻塞，逐条列在合订本与</w:t>
      </w:r>
      <w:r>
        <w:t xml:space="preserve"> </w:t>
      </w:r>
      <w:r>
        <w:rPr>
          <w:rStyle w:val="VerbatimChar"/>
        </w:rPr>
        <w:t xml:space="preserve">data/open_tasks.jsonl</w:t>
      </w:r>
      <w:r>
        <w:t xml:space="preserve"> </w:t>
      </w:r>
      <w:r>
        <w:t xml:space="preserve">里。</w:t>
      </w:r>
    </w:p>
    <w:p>
      <w:r>
        <w:pict>
          <v:rect style="width:0;height:1.5pt" o:hralign="center" o:hrstd="t" o:hr="t"/>
        </w:pict>
      </w:r>
    </w:p>
    <w:bookmarkEnd w:id="33"/>
    <w:bookmarkStart w:id="34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（作者与发表信息为占位）。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Mechanism: research process data package},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Process data, not a peer-reviewed article. See DATASETS.md for the data index and README for evidence tiers and known limitations.}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引用本仓时请保留各篇「诚实边界」与「证据四档」的标注</w:t>
      </w:r>
      <w:r>
        <w:t xml:space="preserve">——那不是免责声明，是结论的一部分。</w:t>
      </w:r>
    </w:p>
    <w:bookmarkEnd w:id="34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35">
        <w:r>
          <w:rPr>
            <w:rStyle w:val="Hyperlink"/>
          </w:rPr>
          <w:t xml:space="preserve">LICENSE</w:t>
        </w:r>
      </w:hyperlink>
      <w:r>
        <w:t xml:space="preserve">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SETS.md" TargetMode="External" /><Relationship Type="http://schemas.openxmlformats.org/officeDocument/2006/relationships/hyperlink" Id="rId35" Target="LICENSE" TargetMode="External" /><Relationship Type="http://schemas.openxmlformats.org/officeDocument/2006/relationships/hyperlink" Id="rId27" Target="PROVENA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SETS.md" TargetMode="External" /><Relationship Type="http://schemas.openxmlformats.org/officeDocument/2006/relationships/hyperlink" Id="rId35" Target="LICENSE" TargetMode="External" /><Relationship Type="http://schemas.openxmlformats.org/officeDocument/2006/relationships/hyperlink" Id="rId27" Target="PROVENA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src-sha256:0e0f36be14d27e268e00eb4a40da32d9168e772eb721a5be1bd840a50a29f08f</cp:keywords>
  <dcterms:created xsi:type="dcterms:W3CDTF">2026-10-25T02:44:35Z</dcterms:created>
  <dcterms:modified xsi:type="dcterms:W3CDTF">2026-10-25T02:44:35Z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