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）；其后仅【措辞与引用形式】调整，结论与全部读数不变</w:t>
      </w:r>
      <w:r>
        <w:t xml:space="preserve">，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指令与这一轮任务书都写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，</w:t>
      </w:r>
      <w:r>
        <w:rPr>
          <w:bCs/>
          <w:b/>
        </w:rPr>
        <w:t xml:space="preserve">本稿用后者</w:t>
      </w:r>
      <w:r>
        <w:t xml:space="preserve">（两处指令一致、且是最新指令）；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要求上"/>
    <w:p>
      <w:pPr>
        <w:pStyle w:val="Heading2"/>
      </w:pPr>
      <w:r>
        <w:t xml:space="preserve">0 · 总框架：三轮变更的主线（每条都落在这篇论文自己的要求上）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</w:t>
            </w:r>
            <w:r>
              <w:rPr>
                <w:bCs/>
                <w:b/>
              </w:rPr>
              <w:t xml:space="preserve">47 → 57</w:t>
            </w:r>
            <w:r>
              <w:t xml:space="preserve">；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（，消融比底稿声称的更干净），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这一轮最重要的一条要求落地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，本篇把它写成</w:t>
      </w:r>
      <w:r>
        <w:rPr>
          <w:bCs/>
          <w:b/>
        </w:rPr>
        <w:t xml:space="preserve">读数分层要求</w:t>
      </w:r>
      <w:r>
        <w:t xml:space="preserve">（§6.1），它同时约束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的判决，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0"/>
          <w:numId w:val="1001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，</w:t>
      </w:r>
      <w:r>
        <w:rPr>
          <w:bCs/>
          <w:b/>
        </w:rPr>
        <w:t xml:space="preserve">按本文的读数分层要求，它只能算【机制存在性】，不能算"学到了什么"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t xml:space="preserve">摘要 ⑤ → 补"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（架构自由度取值相同），消融强度比底稿声称的更干净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的这个题名被换掉"），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，合计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"；A5b → "避坑轴带 in-sample + n=6 + 负对照持平</w:t>
      </w:r>
      <w:r>
        <w:rPr>
          <w:bCs/>
          <w:b/>
        </w:rPr>
        <w:t xml:space="preserve"> </w:t>
      </w:r>
      <w:r>
        <w:t xml:space="preserve">"；A9 → "判决表存在且逐轴分行 **"（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 底稿 §5.6 的措辞是『架构的</w:t>
      </w:r>
      <w:r>
        <w:rPr>
          <w:bCs/>
          <w:b/>
        </w:rPr>
        <w:t xml:space="preserve">两个</w:t>
      </w:r>
      <w:r>
        <w:t xml:space="preserve">自由度』，那是加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之前的旧提法，本文一律写三个"（§14 第 ⑦ 条登记）。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，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按【索引】丢、与极性无关，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这条，v1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，不是别的名字，按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在该批里未被行使，该效应不含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的"，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门控，实现上两臂只差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，正确写法是"层2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</w:t>
      </w:r>
      <w:r>
        <w:t xml:space="preserve"> </w:t>
      </w:r>
      <w:r>
        <w:rPr>
          <w:bCs/>
          <w:b/>
        </w:rPr>
        <w:t xml:space="preserve">消融强度（本文的一条正面证据，且比底稿声称的更干净）</w:t>
      </w:r>
      <w:r>
        <w:t xml:space="preserve">"段。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条，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且已判不可用，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；并加一句" 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"（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 **"（检查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①–⑤），</w:t>
      </w:r>
      <w:r>
        <w:rPr>
          <w:bCs/>
          <w:b/>
        </w:rPr>
        <w:t xml:space="preserve">⑥「与其他篇的共享部分」缺位</w:t>
      </w:r>
      <w:r>
        <w:t xml:space="preserve">，本篇的两条支撑事实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，正是审计回执 Q5「条件 3」指的那个风险。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），⑥ 列</w:t>
      </w:r>
      <w:r>
        <w:rPr>
          <w:bCs/>
          <w:b/>
        </w:rPr>
        <w:t xml:space="preserve">逐行必填</w:t>
      </w:r>
      <w:r>
        <w:t xml:space="preserve">（含" 这两条是【层2 内部】读数，被本篇用于支撑'该发散是题型决定'这个命题，它们不构成层3 的效果证据"与" 与 D 篇共享判官失效模式这类方法学结论，同源判官，证据不独立"）。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"（检查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① 原始实验及其日期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⑥ 与其他篇的共享部分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"层2 内部】读数，被本篇用于支撑"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：状态列混用"已测／未检出／不可分辨／结构受限"，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-o "已测"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"未检出"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21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"不可分辨"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13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"结构受限" $F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 1 处，</w:t>
      </w:r>
      <w:r>
        <w:t xml:space="preserve">且位于"还缺什么"列的说明文字内**（不是状态列）。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判决表，「架构级未检出」与「避坑轴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，并加三条读法要求（"支持度列只允许四档"、"把它压成一句会同时犯夸大与漏报两种错"、"每条依据都带 n"）。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-c "^| \*\*「"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10**。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，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 L3-19 起为本篇新增）；必含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（无独立测试集，全部 in-sample）。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"；A10b → "不与 L1 篇的 L3/L8 撞号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这一节，v1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，违反底稿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这一轮的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（审计回执 Q2.3 的核心要求）。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"；</w:t>
      </w:r>
      <w:r>
        <w:rPr>
          <w:rStyle w:val="VerbatimChar"/>
          <w:bCs/>
          <w:b/>
        </w:rPr>
        <w:t xml:space="preserve">grep -cE "^\| (\*\*)?2026-10-2"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12** 行（9 条变更记录 ＋ §11.3 的两条底稿既有登记在同表内，行数多于条数）｜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（新增《复现性声明》一条），见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"；A8b → "前奏三件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），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原始产物（大部分不在包内）、底稿工作区路径（第三方不可直接复跑）。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"；A11b → "标出不在包内的组件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1），违反底稿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"；A4b（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同行/上下文）→</w:t>
      </w:r>
      <w:r>
        <w:rPr>
          <w:bCs/>
          <w:b/>
        </w:rPr>
        <w:t xml:space="preserve"> </w:t>
      </w:r>
      <w:r>
        <w:t xml:space="preserve">0 缺失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"n="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50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"in-sample"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37**。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"，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同厂商＝训练／三策略批；D：零判官），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无效"的证据」，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规格内部张力的裁决"/>
    <w:p>
      <w:pPr>
        <w:pStyle w:val="Heading3"/>
      </w:pPr>
      <w:r>
        <w:t xml:space="preserve">L3-20 · P2 判据"逐字照抄"与禁写 ⑬ 的冲突（规格内部张力的裁决）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，</w:t>
      </w:r>
      <w:r>
        <w:rPr>
          <w:bCs/>
          <w:b/>
        </w:rPr>
        <w:t xml:space="preserve">两条都是硬约束</w:t>
      </w:r>
      <w:r>
        <w:t xml:space="preserve">，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，该句</w:t>
      </w:r>
      <w:r>
        <w:rPr>
          <w:bCs/>
          <w:b/>
        </w:rPr>
        <w:t xml:space="preserve">其余部分逐字照抄</w:t>
      </w:r>
      <w:r>
        <w:t xml:space="preserve">（主判据、不成立条件、动作空间提示全部未改），并在句末加 括注 + §14 第 ⑨ 条登记。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标注与登记；③ ⑬ 零命中。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"；A1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⑬ 架构由训练产生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⑬b 自动的 Agent 架构搜索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"见 §14 第 ⑨ 条"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:547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"本篇按禁写清单 ⑬"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，</w:t>
      </w:r>
      <w:r>
        <w:rPr>
          <w:bCs/>
          <w:b/>
        </w:rPr>
        <w:t xml:space="preserve">这一轮为让 A13 全绿，做了 15 处纯机械修正</w:t>
      </w:r>
      <w:r>
        <w:t xml:space="preserve">，逐条列在下表，</w:t>
      </w:r>
      <w:r>
        <w:rPr>
          <w:bCs/>
          <w:b/>
        </w:rPr>
        <w:t xml:space="preserve">其中 11 处是分隔行的 dash 数（零文字改动）</w:t>
      </w:r>
      <w:r>
        <w:t xml:space="preserve">；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表头列数，pandoc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单元格里未转义的竖线（规则二），该行被切成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（那会把「或」变成字面匹配，命令再也跑不出原结果，自查记录会变假），改用多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该行末格已写「同上」，作者漏了「验收判据」列，整行被截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（等价：分隔符仍是半角竖线），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往返校验判「丢字」，按同表既有的描述式写法改写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命令语义被改</w:t>
            </w:r>
            <w:r>
              <w:t xml:space="preserve">，那三条自查命令再也跑不出原结果，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改写，实际 20 行）。</w:t>
      </w:r>
      <w:r>
        <w:rPr>
          <w:bCs/>
          <w:b/>
        </w:rPr>
        <w:t xml:space="preserve">其中 0 处改动任何读数、任何结论、任何验收记录</w:t>
      </w:r>
      <w:r>
        <w:t xml:space="preserve">；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rPr>
          <w:bCs/>
          <w:b/>
        </w:rPr>
        <w:t xml:space="preserve">刻意未做的一件事</w:t>
      </w:r>
      <w:r>
        <w:t xml:space="preserve">：</w:t>
      </w:r>
      <w:r>
        <w:rPr>
          <w:bCs/>
          <w:b/>
        </w:rPr>
        <w:t xml:space="preserve">这一轮没有替那 4 个文件重写任何一段散文、没有补写任何一条验收记录</w:t>
      </w:r>
      <w:r>
        <w:t xml:space="preserve">，M-17／M-18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这一轮跑过的全部命令"/>
    <w:p>
      <w:pPr>
        <w:pStyle w:val="Heading3"/>
      </w:pPr>
      <w:r>
        <w:t xml:space="preserve">S0 · 这一轮跑过的全部命令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</w:t>
      </w:r>
      <w:r>
        <w:rPr>
          <w:bCs/>
          <w:b/>
        </w:rPr>
        <w:t xml:space="preserve">"正例句" = 合规的写法示例</w:t>
      </w:r>
      <w:r>
        <w:t xml:space="preserve">（，即"该条该怎么写才不违规"）。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跑批中、未完成，不引用其读数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标题号），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A14 的两处要点</w:t>
      </w:r>
      <w:r>
        <w:t xml:space="preserve">：①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</w:t>
      </w:r>
      <w:r>
        <w:t xml:space="preserve"> </w:t>
      </w:r>
      <w:r>
        <w:rPr>
          <w:bCs/>
          <w:b/>
        </w:rPr>
        <w:t xml:space="preserve">190</w:t>
      </w:r>
      <w:r>
        <w:t xml:space="preserve"> </w:t>
      </w:r>
      <w:r>
        <w:t xml:space="preserve">行），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，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指令与这一轮任务书写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，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P2 判据里有一句的措辞被 ⑬ 拦下，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，该句其余部分逐字照抄 +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A14 要求"重生成 + 全量通过（含底稿全部文件）"，旧清单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条），</w:t>
            </w:r>
            <w:r>
              <w:rPr>
                <w:bCs/>
                <w:b/>
              </w:rPr>
              <w:t xml:space="preserve">这是这一轮唯一改动的第三个文件</w:t>
            </w:r>
            <w:r>
              <w:t xml:space="preserve">（在 v2 §8 的两个交付物之外），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M-01…M-20，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即可还原），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零模型调用），论文已写明"跑批中、未完成，不引用其读数"（§9.7），并在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0，§12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明写"不要动"，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新建（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 owner 终审后收口过，与初交时的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这一轮零模型调用</w:t>
      </w:r>
      <w:r>
        <w:t xml:space="preserve">（G4）：全部读数沿用底稿既有产出；</w:t>
      </w:r>
      <w:r>
        <w:rPr>
          <w:bCs/>
          <w:b/>
        </w:rPr>
        <w:t xml:space="preserve">未跑任何 git 命令</w:t>
      </w:r>
      <w:r>
        <w:t xml:space="preserve">；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</w:t>
            </w:r>
            <w:r>
              <w:rPr>
                <w:bCs/>
                <w:b/>
              </w:rPr>
              <w:t xml:space="preserve">零删除</w:t>
            </w:r>
            <w:r>
              <w:t xml:space="preserve">（v1 基线 58/13/13）；底稿 §8 的 18 条局限一条不删；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），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走通道后归零</w:t>
            </w:r>
            <w:r>
              <w:rPr>
                <w:bCs/>
                <w:b/>
              </w:rPr>
              <w:t xml:space="preserve">；通道只认「文件名:数字」这一种形态，</w:t>
            </w:r>
            <w:r>
              <w:t xml:space="preserve">不是一律豁免</w:t>
            </w:r>
            <w:r>
              <w:rPr>
                <w:bCs/>
                <w:b/>
              </w:rPr>
              <w:t xml:space="preserve">）｜ 独立终审按</w:t>
            </w:r>
            <w:r>
              <w:t xml:space="preserve">窄口径</w:t>
            </w:r>
            <w:r>
              <w:rPr>
                <w:bCs/>
                <w:b/>
              </w:rPr>
              <w:t xml:space="preserve">（只豁免本文 43 个标题号）实测</w:t>
            </w:r>
            <w:r>
              <w:rPr>
                <w:bCs/>
                <w:b/>
              </w:rPr>
              <w:t xml:space="preserve"> </w:t>
            </w:r>
            <w:r>
              <w:t xml:space="preserve">203 个 / 同样 3 个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</w:t>
            </w:r>
            <w:r>
              <w:rPr>
                <w:bCs/>
                <w:b/>
              </w:rPr>
              <w:t xml:space="preserve">原记录『198 个 / 0 个』是初交那一版的数，按《终审后修复报告》§2 的采信规则一律按【待核】读</w:t>
            </w:r>
            <w:r>
              <w:t xml:space="preserve">；判据盲区（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的数，见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**（唯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逐条对照路径映射表；不得出现扁平化前路径；标出不在包内的组件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这一轮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  <w:r>
              <w:t xml:space="preserve">（全绿）；本篇两行的「列数不一致」均为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，</w:t>
            </w:r>
            <w:r>
              <w:rPr>
                <w:bCs/>
                <w:b/>
              </w:rPr>
              <w:t xml:space="preserve">六条断言全，EXIT=0</w:t>
            </w:r>
            <w:r>
              <w:t xml:space="preserve">；命令与输出也贴在正文附录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owner 终审后更正（2026-10-25）</w:t>
      </w:r>
    </w:p>
    <w:p>
      <w:pPr>
        <w:pStyle w:val="FirstParagraph"/>
      </w:pPr>
      <w:r>
        <w:rPr>
          <w:bCs/>
          <w:b/>
        </w:rPr>
        <w:t xml:space="preserve">本报告 §1–§3 的「真实自查输出」对应的正文版本，其自述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）及任何后续版本【都不符】，那次 sha 计算在仓内【无法复现】（可能取自更早的一次编辑），因此原记录里的全部计数一律按【待核】处理</w:t>
      </w:r>
      <w:r>
        <w:t xml:space="preserve">独立终审判定 R-01</w:t>
      </w:r>
      <w:r>
        <w:rPr>
          <w:bCs/>
          <w:b/>
        </w:rPr>
        <w:t xml:space="preserve">：那一版的</w:t>
      </w:r>
      <w:r>
        <w:t xml:space="preserve">行数 799 / 字节 99,265 与交付版完全相同、但 sha256 不同</w:t>
      </w:r>
      <w:r>
        <w:rPr>
          <w:bCs/>
          <w:b/>
        </w:rPr>
        <w:t xml:space="preserve">说明正文在本报告写成之后被改过</w:t>
      </w:r>
      <w:r>
        <w:t xml:space="preserve">本报告的计数对不上交付版**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owner 已按交付版重跑并更正下列事实</w:t>
      </w:r>
      <w:r>
        <w:t xml:space="preserve">（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（原值见本表『本报告原写』栏），</w:t>
      </w:r>
      <w:r>
        <w:rPr>
          <w:bCs/>
          <w:b/>
        </w:rPr>
        <w:t xml:space="preserve">§1–§3 的原始输出段一字未动</w:t>
      </w:r>
      <w:r>
        <w:t xml:space="preserve">；凡与本表冲突者，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采信规则（写给第三方）</w:t>
      </w:r>
      <w:r>
        <w:t xml:space="preserve">：</w:t>
      </w:r>
      <w:r>
        <w:rPr>
          <w:bCs/>
          <w:b/>
        </w:rPr>
        <w:t xml:space="preserve">本报告 §1–§3 的原始输出一律按【待核】读</w:t>
      </w:r>
      <w:r>
        <w:t xml:space="preserve">；</w:t>
      </w:r>
      <w:r>
        <w:rPr>
          <w:bCs/>
          <w:b/>
        </w:rPr>
        <w:t xml:space="preserve">本表与正文实际内容为准</w:t>
      </w:r>
      <w:r>
        <w:t xml:space="preserve">；正文本身的正确性由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原记录按【待核】读**，见下方采信规则）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B）；其后仅【轴名措辞与引用形式】调整、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这一轮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这一轮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），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走通道后归零**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owner 对终审放行条件 #1 的决定（与终审建议不同，理由在案）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的初始化」，</w:t>
      </w:r>
      <w:r>
        <w:rPr>
          <w:bCs/>
          <w:b/>
        </w:rPr>
        <w:t xml:space="preserve">owner 不改第三组交付的底稿代码</w:t>
      </w:r>
      <w:r>
        <w:t xml:space="preserve">理由</w:t>
      </w:r>
      <w:r>
        <w:rPr>
          <w:bCs/>
          <w:b/>
        </w:rPr>
        <w:t xml:space="preserve">：① 补初始化</w:t>
      </w:r>
      <w:r>
        <w:t xml:space="preserve">不会</w:t>
      </w:r>
      <w:r>
        <w:rPr>
          <w:bCs/>
          <w:b/>
        </w:rPr>
        <w:t xml:space="preserve">让本文读数可复现（产读数的那一版代码不在包内），只会造出「看着能跑、但跑不出本文读数」的</w:t>
      </w:r>
      <w:r>
        <w:t xml:space="preserve">假象</w:t>
      </w:r>
      <w:r>
        <w:rPr>
          <w:bCs/>
          <w:b/>
        </w:rPr>
        <w:t xml:space="preserve">；② 那是</w:t>
      </w:r>
      <w:r>
        <w:t xml:space="preserve">第三组交付的资产</w:t>
      </w:r>
      <w:r>
        <w:rPr>
          <w:bCs/>
          <w:b/>
        </w:rPr>
        <w:t xml:space="preserve">，不是这一轮的改稿对象；③</w:t>
      </w:r>
      <w:r>
        <w:rPr>
          <w:bCs/>
          <w:b/>
        </w:rPr>
        <w:t xml:space="preserve"> </w:t>
      </w:r>
      <w:r>
        <w:t xml:space="preserve">正确处理是如实披露**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src-sha256:e2e89459297e1b21485db7732c1c7d5d5b1910ac7a6a8310d0e68ed8da1d02c2</cp:keywords>
  <dcterms:created xsi:type="dcterms:W3CDTF">2026-10-25T01:53:39Z</dcterms:created>
  <dcterms:modified xsi:type="dcterms:W3CDTF">2026-10-25T01:53:39Z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