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行；未进交差包，未经外部审稿、未改）；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；中文显示名《让系统自己改自己：学到了什么、没学到什么、什么还判不了》），</w:t>
      </w:r>
      <w:r>
        <w:rPr>
          <w:bCs/>
          <w:b/>
        </w:rPr>
        <w:t xml:space="preserve">本页的「四篇」现为「原四篇 ＋ 方向③」＝ 五篇正文</w:t>
      </w:r>
      <w:r>
        <w:t xml:space="preserve">（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，为可追溯性：外部审稿意见审的就是那四篇），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，≤1 的效应原理上看不见）｜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，差异来自策略而非整体漂移；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，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0.100／0.083，无证据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与因子偏置共线），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「本篇尚未经外部审稿」这一事实必须对答辩方说清</w:t>
      </w:r>
      <w:r>
        <w:t xml:space="preserve">；它也</w:t>
      </w:r>
      <w:r>
        <w:rPr>
          <w:bCs/>
          <w:b/>
        </w:rPr>
        <w:t xml:space="preserve">不在</w:t>
      </w:r>
      <w:r>
        <w:t xml:space="preserve">外部审稿意见的改稿范围内，它的独立终审是</w:t>
      </w:r>
      <w:r>
        <w:rPr>
          <w:bCs/>
          <w:b/>
        </w:rPr>
        <w:t xml:space="preserve">这一轮另拉的独立审稿会话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外部只读审计的定位**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。"在有限样本上选赢家"是过拟合的结构性根源，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  <w:r>
              <w:t xml:space="preserve">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：批 1 判决 =「不可分辨」（结论空间层逐配对符号不一致、零分布 n=8，噪声带 ±8），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；批 2（法律域 944 条）原始产出仍待补，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打平，零区分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，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</w:t>
            </w:r>
            <w:r>
              <w:rPr>
                <w:bCs/>
                <w:b/>
              </w:rPr>
              <w:t xml:space="preserve">这一轮新建、从未被外部审稿审过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，比底稿声称的更干净）；但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，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之前的旧值，本篇按实现侧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（u6+v2+t3+m36+arb3+nf4+mm3），已登记进《读数口径变更记录》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代码级事实**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不可达，实际是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：全部读数沿用底稿既有产出；留出集批次仍在跑批中，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，一切读数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口径规则（2026-10-24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，已落到：A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且这一条已直接改写了两篇的对外结论口径</w:t>
      </w:r>
      <w:r>
        <w:t xml:space="preserve">（这就是"合订本必须按单稿新措辞重建"的原因）：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只测『新增』侧、【推导唯一】任务域、本批本口径，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0），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（2026-10-24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，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」，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的型号池口径是同一条要求的两面）。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（2026-10-24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无主实验），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src-sha256:a8db489c1f7cede3085ebca77355ddd30708e30ae0cf40d00a2462f5881979dd</cp:keywords>
  <dcterms:created xsi:type="dcterms:W3CDTF">2026-10-25T01:53:26Z</dcterms:created>
  <dcterms:modified xsi:type="dcterms:W3CDTF">2026-10-25T01:53:26Z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