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a-state-machine-is-not-yet-a-prompt"/>
    <w:p>
      <w:pPr>
        <w:pStyle w:val="Heading1"/>
      </w:pPr>
      <w:r>
        <w:t xml:space="preserve">A State Machine Is Not Yet a Prompt</w:t>
      </w:r>
    </w:p>
    <w:bookmarkStart w:id="20" w:name="目的状态机的四步管线双层结构与可归因读数"/>
    <w:p>
      <w:pPr>
        <w:pStyle w:val="Heading2"/>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w:t>
      </w:r>
      <w:r>
        <w:t xml:space="preserve"> </w:t>
      </w:r>
      <w:r>
        <w:t xml:space="preserve">一手文件本地可回查 ｜</w:t>
      </w:r>
      <w:r>
        <w:t xml:space="preserve"> </w:t>
      </w:r>
      <w:r>
        <w:rPr>
          <w:rStyle w:val="VerbatimChar"/>
        </w:rPr>
        <w:t xml:space="preserve">📌</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0"/>
    <w:bookmarkStart w:id="21" w:name="摘要"/>
    <w:p>
      <w:pPr>
        <w:pStyle w:val="Heading2"/>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1"/>
    <w:bookmarkStart w:id="22" w:name="本文与论文簇其余三篇的分工"/>
    <w:p>
      <w:pPr>
        <w:pStyle w:val="Heading2"/>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
    <w:bookmarkStart w:id="34" w:name="引言"/>
    <w:p>
      <w:pPr>
        <w:pStyle w:val="Heading2"/>
      </w:pPr>
      <w:r>
        <w:t xml:space="preserve">1 引言</w:t>
      </w:r>
    </w:p>
    <w:bookmarkStart w:id="23" w:name="问题答案背后有没有核心思想链"/>
    <w:p>
      <w:pPr>
        <w:pStyle w:val="Heading3"/>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
    <w:bookmarkStart w:id="24" w:name="X2d894ee33ddb6dc46f1cbab00e2ce202b766f3f"/>
    <w:p>
      <w:pPr>
        <w:pStyle w:val="Heading3"/>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
    <w:bookmarkStart w:id="25" w:name="诚实降级不是模型内部的内在状态是agent-进程内的持久状态"/>
    <w:p>
      <w:pPr>
        <w:pStyle w:val="Heading3"/>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5"/>
    <w:bookmarkStart w:id="26" w:name="本文主张什么-边界在哪"/>
    <w:p>
      <w:pPr>
        <w:pStyle w:val="Heading3"/>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6"/>
    <w:bookmarkStart w:id="27" w:name="本文贡献一览"/>
    <w:p>
      <w:pPr>
        <w:pStyle w:val="Heading3"/>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7"/>
    <w:bookmarkStart w:id="31" w:name="相关工作外部锚点"/>
    <w:p>
      <w:pPr>
        <w:pStyle w:val="Heading3"/>
      </w:pPr>
      <w:r>
        <w:t xml:space="preserve">1.6 相关工作（外部锚点）</w:t>
      </w:r>
    </w:p>
    <w:bookmarkStart w:id="28" w:name="生成机制一侧ntp-与先想再写"/>
    <w:p>
      <w:pPr>
        <w:pStyle w:val="Heading4"/>
      </w:pPr>
      <w:r>
        <w:t xml:space="preserve">1.6.1 生成机制一侧：NTP 与"先想再写"</w:t>
      </w:r>
    </w:p>
    <w:p>
      <w:pPr>
        <w:numPr>
          <w:ilvl w:val="0"/>
          <w:numId w:val="1001"/>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01"/>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8"/>
    <w:bookmarkStart w:id="29" w:name="测量一侧创造性写作的交互式基准"/>
    <w:p>
      <w:pPr>
        <w:pStyle w:val="Heading4"/>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9"/>
    <w:bookmarkStart w:id="30" w:name="驱动一侧状态立场与角色"/>
    <w:p>
      <w:pPr>
        <w:pStyle w:val="Heading4"/>
      </w:pPr>
      <w:r>
        <w:t xml:space="preserve">1.6.3 "驱动"一侧：状态、立场与角色</w:t>
      </w:r>
    </w:p>
    <w:p>
      <w:pPr>
        <w:numPr>
          <w:ilvl w:val="0"/>
          <w:numId w:val="1002"/>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02"/>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02"/>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30"/>
    <w:bookmarkEnd w:id="31"/>
    <w:bookmarkStart w:id="32" w:name="两条通路与本文的读数分工"/>
    <w:p>
      <w:pPr>
        <w:pStyle w:val="Heading3"/>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 成立               ❌ v3 几何归零</w:t>
      </w:r>
      <w:r>
        <w:br/>
      </w:r>
      <w:r>
        <w:rPr>
          <w:rStyle w:val="VerbatimChar"/>
        </w:rPr>
        <w:t xml:space="preserve">                    （9.13×）             ⚠️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32"/>
    <w:bookmarkStart w:id="33" w:name="数据来源与独立性声明"/>
    <w:p>
      <w:pPr>
        <w:pStyle w:val="Heading3"/>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33"/>
    <w:bookmarkEnd w:id="34"/>
    <w:bookmarkStart w:id="42" w:name="目的状态机的设计"/>
    <w:p>
      <w:pPr>
        <w:pStyle w:val="Heading2"/>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35" w:name="状态-可追问的目的-立场档案"/>
    <w:p>
      <w:pPr>
        <w:pStyle w:val="Heading3"/>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03"/>
        </w:numPr>
        <w:pStyle w:val="Compact"/>
      </w:pPr>
      <w:r>
        <w:rPr>
          <w:bCs/>
          <w:b/>
        </w:rPr>
        <w:t xml:space="preserve">有来历</w:t>
      </w:r>
      <w:r>
        <w:t xml:space="preserve">：一个具体事件（时间 / 地点 / 一个可追问的细节），这是"可被追问来历"的机器实现。</w:t>
      </w:r>
    </w:p>
    <w:p>
      <w:pPr>
        <w:numPr>
          <w:ilvl w:val="0"/>
          <w:numId w:val="1003"/>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03"/>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35"/>
    <w:bookmarkStart w:id="36" w:name="c1-四步管线本文的核心公式"/>
    <w:p>
      <w:pPr>
        <w:pStyle w:val="Heading3"/>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04"/>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04"/>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04"/>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36"/>
    <w:bookmarkStart w:id="37" w:name="c2-双层状态机事实层-核心思想链的载体"/>
    <w:p>
      <w:pPr>
        <w:pStyle w:val="Heading3"/>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37"/>
    <w:bookmarkStart w:id="38" w:name="干净的可核验定义-封闭性审计"/>
    <w:p>
      <w:pPr>
        <w:pStyle w:val="Heading3"/>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38"/>
    <w:bookmarkStart w:id="39" w:name="判据终局离散结构量"/>
    <w:p>
      <w:pPr>
        <w:pStyle w:val="Heading3"/>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39"/>
    <w:bookmarkStart w:id="40" w:name="主控硬约束一切离散结构量判据必须报-c1-vs-c0"/>
    <w:p>
      <w:pPr>
        <w:pStyle w:val="Heading3"/>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40"/>
    <w:bookmarkStart w:id="41" w:name="防伪状态泄漏断言-极性符号对齐-干扰项"/>
    <w:p>
      <w:pPr>
        <w:pStyle w:val="Heading3"/>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41"/>
    <w:bookmarkEnd w:id="42"/>
    <w:bookmarkStart w:id="68" w:name="第一轮实测phase-1预注册写在数据跑完之前"/>
    <w:p>
      <w:pPr>
        <w:pStyle w:val="Heading2"/>
      </w:pPr>
      <w:r>
        <w:t xml:space="preserve">3 第一轮实测（Phase 1，预注册写在数据跑完之前）</w:t>
      </w:r>
    </w:p>
    <w:bookmarkStart w:id="43" w:name="预注册与总判决规则"/>
    <w:p>
      <w:pPr>
        <w:pStyle w:val="Heading3"/>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43"/>
    <w:bookmarkStart w:id="44" w:name="设计规模与批次要求"/>
    <w:p>
      <w:pPr>
        <w:pStyle w:val="Heading3"/>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44"/>
    <w:bookmarkStart w:id="45" w:name="h1-事实层因果性部分成立"/>
    <w:p>
      <w:pPr>
        <w:pStyle w:val="Heading3"/>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45"/>
    <w:bookmarkStart w:id="46" w:name="h2-状态锚定-vs-跟随历史成立"/>
    <w:p>
      <w:pPr>
        <w:pStyle w:val="Heading3"/>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05"/>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05"/>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46"/>
    <w:bookmarkStart w:id="47" w:name="h3-极性编码不成立"/>
    <w:p>
      <w:pPr>
        <w:pStyle w:val="Heading3"/>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47"/>
    <w:bookmarkStart w:id="48" w:name="h4-已排除选项的抑制方向成立未达显著"/>
    <w:p>
      <w:pPr>
        <w:pStyle w:val="Heading3"/>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48"/>
    <w:bookmarkStart w:id="49" w:name="Xb9a810018e98b3efc01ef5b3f101ddd13c92ea2"/>
    <w:p>
      <w:pPr>
        <w:pStyle w:val="Heading3"/>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49"/>
    <w:bookmarkStart w:id="50" w:name="前置读数v1v3-批次反馈通路成立几何读数归零"/>
    <w:p>
      <w:pPr>
        <w:pStyle w:val="Heading3"/>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50"/>
    <w:bookmarkStart w:id="61" w:name="另一条放置路线把状态放进选择层v4"/>
    <w:p>
      <w:pPr>
        <w:pStyle w:val="Heading3"/>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51" w:name="主读数v4-三臂"/>
    <w:p>
      <w:pPr>
        <w:pStyle w:val="Heading4"/>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51"/>
    <w:bookmarkStart w:id="52" w:name="mes-声明本批未预注册最小实际效应量"/>
    <w:p>
      <w:pPr>
        <w:pStyle w:val="Heading4"/>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52"/>
    <w:bookmarkStart w:id="53" w:name="h3-判决预注册指定只在-wf-v4-blind-臂内判决"/>
    <w:p>
      <w:pPr>
        <w:pStyle w:val="Heading4"/>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53"/>
    <w:bookmarkStart w:id="54" w:name="Xb93ddaa15fefe0b5119d524f3cb3f6146c9bdb7"/>
    <w:p>
      <w:pPr>
        <w:pStyle w:val="Heading4"/>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54"/>
    <w:bookmarkStart w:id="55" w:name="无效读数如实报告不删不美化"/>
    <w:p>
      <w:pPr>
        <w:pStyle w:val="Heading4"/>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55"/>
    <w:bookmarkStart w:id="56" w:name="诊断"/>
    <w:p>
      <w:pPr>
        <w:pStyle w:val="Heading4"/>
      </w:pPr>
      <w:r>
        <w:t xml:space="preserve">3.9.6 诊断</w:t>
      </w:r>
    </w:p>
    <w:p>
      <w:pPr>
        <w:numPr>
          <w:ilvl w:val="0"/>
          <w:numId w:val="1006"/>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06"/>
        </w:numPr>
        <w:pStyle w:val="Compact"/>
      </w:pPr>
      <w:r>
        <w:rPr>
          <w:bCs/>
          <w:b/>
        </w:rPr>
        <w:t xml:space="preserve">失败</w:t>
      </w:r>
      <w:r>
        <w:t xml:space="preserve">：</w:t>
      </w:r>
      <w:r>
        <w:rPr>
          <w:bCs/>
          <w:b/>
        </w:rPr>
        <w:t xml:space="preserve">0 / 27</w:t>
      </w:r>
      <w:r>
        <w:t xml:space="preserve">（无缺失、无静默归零、无解析失败）。</w:t>
      </w:r>
    </w:p>
    <w:p>
      <w:pPr>
        <w:numPr>
          <w:ilvl w:val="0"/>
          <w:numId w:val="1006"/>
        </w:numPr>
        <w:pStyle w:val="Compact"/>
      </w:pPr>
      <w:r>
        <w:rPr>
          <w:bCs/>
          <w:b/>
        </w:rPr>
        <w:t xml:space="preserve">调用</w:t>
      </w:r>
      <w:r>
        <w:t xml:space="preserve">：144 次。</w:t>
      </w:r>
    </w:p>
    <w:bookmarkEnd w:id="56"/>
    <w:bookmarkStart w:id="57" w:name="三条结论"/>
    <w:p>
      <w:pPr>
        <w:pStyle w:val="Heading4"/>
      </w:pPr>
      <w:r>
        <w:t xml:space="preserve">3.9.7 三条结论</w:t>
      </w:r>
    </w:p>
    <w:p>
      <w:pPr>
        <w:numPr>
          <w:ilvl w:val="0"/>
          <w:numId w:val="1007"/>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07"/>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57"/>
    <w:bookmarkStart w:id="58" w:name="一个待检验的假说状态化选择的结构性两难"/>
    <w:p>
      <w:pPr>
        <w:pStyle w:val="Heading4"/>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58"/>
    <w:bookmarkStart w:id="59" w:name="要把两难从假说升格为一般结论需要什么"/>
    <w:p>
      <w:pPr>
        <w:pStyle w:val="Heading4"/>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59"/>
    <w:bookmarkStart w:id="60" w:name="为什么选择器读不出状态一个可操作的诊断"/>
    <w:p>
      <w:pPr>
        <w:pStyle w:val="Heading4"/>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60"/>
    <w:bookmarkEnd w:id="61"/>
    <w:bookmarkStart w:id="67" w:name="实验设置与规模v1v4-批次"/>
    <w:p>
      <w:pPr>
        <w:pStyle w:val="Heading3"/>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62" w:name="题"/>
    <w:p>
      <w:pPr>
        <w:pStyle w:val="Heading4"/>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62"/>
    <w:bookmarkStart w:id="63" w:name="批号"/>
    <w:p>
      <w:pPr>
        <w:pStyle w:val="Heading4"/>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63"/>
    <w:bookmarkStart w:id="64" w:name="模型与判官"/>
    <w:p>
      <w:pPr>
        <w:pStyle w:val="Heading4"/>
      </w:pPr>
      <w:r>
        <w:t xml:space="preserve">3.10.3 模型与判官</w:t>
      </w:r>
    </w:p>
    <w:p>
      <w:pPr>
        <w:numPr>
          <w:ilvl w:val="0"/>
          <w:numId w:val="1008"/>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08"/>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08"/>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64"/>
    <w:bookmarkStart w:id="65" w:name="判官自检先证明检查器能抓到东西"/>
    <w:p>
      <w:pPr>
        <w:pStyle w:val="Heading4"/>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65"/>
    <w:bookmarkStart w:id="66" w:name="规模与成本"/>
    <w:p>
      <w:pPr>
        <w:pStyle w:val="Heading4"/>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66"/>
    <w:bookmarkEnd w:id="67"/>
    <w:bookmarkEnd w:id="68"/>
    <w:bookmarkStart w:id="72" w:name="取舍会丢事实目的状态机的第一个结构性代价比较性判定本批不可分辨"/>
    <w:p>
      <w:pPr>
        <w:pStyle w:val="Heading2"/>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69" w:name="三条主张三种强度拆开写不合并成一句"/>
    <w:p>
      <w:pPr>
        <w:pStyle w:val="Heading3"/>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69"/>
    <w:bookmarkStart w:id="70" w:name="把它写成设计约束不是失败"/>
    <w:p>
      <w:pPr>
        <w:pStyle w:val="Heading3"/>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70"/>
    <w:bookmarkStart w:id="71" w:name="判死门在-d-1-上的状态诚实登记不当作失败结论"/>
    <w:p>
      <w:pPr>
        <w:pStyle w:val="Heading3"/>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71"/>
    <w:bookmarkEnd w:id="72"/>
    <w:bookmarkStart w:id="75" w:name="两条方法论收获"/>
    <w:p>
      <w:pPr>
        <w:pStyle w:val="Heading2"/>
      </w:pPr>
      <w:r>
        <w:t xml:space="preserve">5 两条方法论收获</w:t>
      </w:r>
    </w:p>
    <w:bookmarkStart w:id="73" w:name="收获一锚点必须是产出本来就会写的具体事实"/>
    <w:p>
      <w:pPr>
        <w:pStyle w:val="Heading3"/>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73"/>
    <w:bookmarkStart w:id="74" w:name="收获二干净-有力"/>
    <w:p>
      <w:pPr>
        <w:pStyle w:val="Heading3"/>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74"/>
    <w:bookmarkEnd w:id="75"/>
    <w:bookmarkStart w:id="76" w:name="工程代价thinking-失控"/>
    <w:p>
      <w:pPr>
        <w:pStyle w:val="Heading2"/>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76"/>
    <w:bookmarkStart w:id="88" w:name="判官与效度诚实层"/>
    <w:p>
      <w:pPr>
        <w:pStyle w:val="Heading2"/>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77" w:name="两条读数轴可核验性-分辨力"/>
    <w:p>
      <w:pPr>
        <w:pStyle w:val="Heading3"/>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09"/>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09"/>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09"/>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77"/>
    <w:bookmarkStart w:id="78" w:name="Xccb1a4ef9c8b7b07c07d99332bd9ab931145ca4"/>
    <w:p>
      <w:pPr>
        <w:pStyle w:val="Heading3"/>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10"/>
        </w:numPr>
        <w:pStyle w:val="Compact"/>
      </w:pPr>
      <w:r>
        <w:rPr>
          <w:bCs/>
          <w:b/>
        </w:rPr>
        <w:t xml:space="preserve">不能取平均</w:t>
      </w:r>
      <w:r>
        <w:t xml:space="preserve">（几何与判官的量纲与被测量都不同，平均没有意义）；</w:t>
      </w:r>
    </w:p>
    <w:p>
      <w:pPr>
        <w:numPr>
          <w:ilvl w:val="0"/>
          <w:numId w:val="1010"/>
        </w:numPr>
        <w:pStyle w:val="Compact"/>
      </w:pPr>
      <w:r>
        <w:rPr>
          <w:bCs/>
          <w:b/>
        </w:rPr>
        <w:t xml:space="preserve">不能取更强的一方</w:t>
      </w:r>
      <w:r>
        <w:t xml:space="preserve">（"判官有分辨力所以判官对"是循环的——判官的失效模式正是本文要处理的对象，§7.5）；</w:t>
      </w:r>
    </w:p>
    <w:p>
      <w:pPr>
        <w:numPr>
          <w:ilvl w:val="0"/>
          <w:numId w:val="1010"/>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78"/>
    <w:bookmarkStart w:id="79" w:name="零判官几何读数多题单题结论不可外推"/>
    <w:p>
      <w:pPr>
        <w:pStyle w:val="Heading3"/>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79"/>
    <w:bookmarkStart w:id="80" w:name="换用判官读数方向相反"/>
    <w:p>
      <w:pPr>
        <w:pStyle w:val="Heading3"/>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80"/>
    <w:bookmarkStart w:id="81" w:name="双判官交叉验证方向不是某个判官家族的偏好"/>
    <w:p>
      <w:pPr>
        <w:pStyle w:val="Heading3"/>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81"/>
    <w:bookmarkStart w:id="82" w:name="X9ae8e364abbb416a591ba1e81b5ca2643bfa0b4"/>
    <w:p>
      <w:pPr>
        <w:pStyle w:val="Heading3"/>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82"/>
    <w:bookmarkStart w:id="83" w:name="不循环读数本文的核心方法论贡献"/>
    <w:p>
      <w:pPr>
        <w:pStyle w:val="Heading3"/>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83"/>
    <w:bookmarkStart w:id="84" w:name="推断链-证伪条件表"/>
    <w:p>
      <w:pPr>
        <w:pStyle w:val="Heading3"/>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84"/>
    <w:bookmarkStart w:id="85" w:name="同源判官能用但只能当交叉验证的一端"/>
    <w:p>
      <w:pPr>
        <w:pStyle w:val="Heading3"/>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85"/>
    <w:bookmarkStart w:id="86" w:name="对相邻结论的独立验证与指引"/>
    <w:p>
      <w:pPr>
        <w:pStyle w:val="Heading3"/>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86"/>
    <w:bookmarkStart w:id="87" w:name="与层1-的接口不同源但方向一致"/>
    <w:p>
      <w:pPr>
        <w:pStyle w:val="Heading3"/>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87"/>
    <w:bookmarkEnd w:id="88"/>
    <w:bookmarkStart w:id="91" w:name="下一步v3-让取舍本身离散化"/>
    <w:p>
      <w:pPr>
        <w:pStyle w:val="Heading2"/>
      </w:pPr>
      <w:r>
        <w:t xml:space="preserve">8 下一步：v3 —— 让取舍本身离散化</w:t>
      </w:r>
    </w:p>
    <w:bookmarkStart w:id="89" w:name="v3-的第一条依据取舍对象必须取自初稿里没有的东西"/>
    <w:p>
      <w:pPr>
        <w:pStyle w:val="Heading3"/>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89"/>
    <w:bookmarkStart w:id="90" w:name="v3-的设计表"/>
    <w:p>
      <w:pPr>
        <w:pStyle w:val="Heading3"/>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90"/>
    <w:bookmarkEnd w:id="91"/>
    <w:bookmarkStart w:id="92" w:name="局限与威胁有效性"/>
    <w:p>
      <w:pPr>
        <w:pStyle w:val="Heading2"/>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92"/>
    <w:bookmarkStart w:id="95" w:name="未来工作与待取证清单"/>
    <w:p>
      <w:pPr>
        <w:pStyle w:val="Heading2"/>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93" w:name="待取证清单t-d-nn-主张已在证据待补"/>
    <w:p>
      <w:pPr>
        <w:pStyle w:val="Heading3"/>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93"/>
    <w:bookmarkStart w:id="94" w:name="未来工作不属于本文证据"/>
    <w:p>
      <w:pPr>
        <w:pStyle w:val="Heading3"/>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94"/>
    <w:bookmarkEnd w:id="95"/>
    <w:bookmarkStart w:id="96" w:name="结论"/>
    <w:p>
      <w:pPr>
        <w:pStyle w:val="Heading2"/>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96"/>
    <w:bookmarkStart w:id="102" w:name="附录-a-复现清单"/>
    <w:p>
      <w:pPr>
        <w:pStyle w:val="Heading2"/>
      </w:pPr>
      <w:r>
        <w:t xml:space="preserve">附录 A · 复现清单</w:t>
      </w:r>
    </w:p>
    <w:bookmarkStart w:id="97" w:name="a.1-代码仓内"/>
    <w:p>
      <w:pPr>
        <w:pStyle w:val="Heading3"/>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97"/>
    <w:bookmarkStart w:id="98" w:name="a.1b-数据仓内"/>
    <w:p>
      <w:pPr>
        <w:pStyle w:val="Heading3"/>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98"/>
    <w:bookmarkStart w:id="99" w:name="a.2-第四组权威材料已精选归档进仓-来源与底稿第四组"/>
    <w:p>
      <w:pPr>
        <w:pStyle w:val="Heading3"/>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99"/>
    <w:bookmarkStart w:id="100" w:name="a.3-关键命令"/>
    <w:p>
      <w:pPr>
        <w:pStyle w:val="Heading3"/>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100"/>
    <w:bookmarkStart w:id="101" w:name="a.4-复现注意事项踩过的坑"/>
    <w:p>
      <w:pPr>
        <w:pStyle w:val="Heading3"/>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101"/>
    <w:bookmarkEnd w:id="102"/>
    <w:bookmarkStart w:id="103" w:name="附录-b-判官失效模式速查"/>
    <w:p>
      <w:pPr>
        <w:pStyle w:val="Heading2"/>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103"/>
    <w:bookmarkStart w:id="104" w:name="附录-c-数字台账"/>
    <w:p>
      <w:pPr>
        <w:pStyle w:val="Heading2"/>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src-sha256:4346106ae9696c722b6d628ff31b0c0f4277acf9558993453ce2f8d0370290cb</cp:keywords>
  <dcterms:created xsi:type="dcterms:W3CDTF">2026-10-25T01:53:30Z</dcterms:created>
  <dcterms:modified xsi:type="dcterms:W3CDTF">2026-10-25T01:53:30Z</dcterms:modified>
</cp:coreProperties>
</file>

<file path=docProps/custom.xml><?xml version="1.0" encoding="utf-8"?>
<Properties xmlns="http://schemas.openxmlformats.org/officeDocument/2006/custom-properties" xmlns:vt="http://schemas.openxmlformats.org/officeDocument/2006/docPropsVTypes"/>
</file>