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，语义核对仍需人读一行。</w:t>
      </w:r>
    </w:p>
    <w:p>
      <w:pPr>
        <w:pStyle w:val="BlockText"/>
      </w:pP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rPr>
          <w:bCs/>
          <w:b/>
        </w:rPr>
        <w:t xml:space="preserve">四篇的头条读数，没有任何一个被独立主体复核过</w:t>
      </w:r>
      <w:r>
        <w:t xml:space="preserve">，本表证明的是「数字有出处」，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已按外部审稿改写为"集中在最强对比上，不是六条全等"，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样本）才稳，扩题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0.073–0.135），三个候选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已按外部审稿改写为"集中在最强对比上，不是六条全等"，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3.32（÷N，1.0300／0.8050／0.6480／0.5617／0.4743；复算端点与原文正文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／（该行实为 4 支：第 5 支命中已下架的 MiniMax-M2.1，空串被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src-sha256:145ab840e5d494e7922cabf482fda9be5bd427138720a6e892e526e0a29d59e3</cp:keywords>
  <dcterms:created xsi:type="dcterms:W3CDTF">2026-10-25T02:46:41Z</dcterms:created>
  <dcterms:modified xsi:type="dcterms:W3CDTF">2026-10-25T02:46:41Z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