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推论（三条，已落到具体动作）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22d26f203ab1d237023adbb19121b2cfe2e30e7"/>
    <w:p>
      <w:pPr>
        <w:pStyle w:val="Heading3"/>
      </w:pPr>
      <w:r>
        <w:t xml:space="preserve">2.1 L1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（Δα：−0.002 / +0.021 / +0.091 / +0.110 / −0.072）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层工作流干预无效」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（两条互不依赖的轴同向）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≈ 0.89–0.94，K≤4 未见饱和）⇒ 更像输出/表述层；</w:t>
            </w:r>
            <w:r>
              <w:rPr>
                <w:bCs/>
                <w:b/>
              </w:rPr>
              <w:t xml:space="preserve">但表示层从未被测过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 |Δ/合并σ| ≥ 1.0 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aae07e658d1b73f218ed71f00182da19f4bf1ff"/>
    <w:p>
      <w:pPr>
        <w:pStyle w:val="Heading3"/>
      </w:pPr>
      <w:r>
        <w:t xml:space="preserve">2.3 C · Six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 「状态驱动无效」—— 现有形态</w:t>
      </w:r>
      <w:r>
        <w:rPr>
          <w:bCs/>
          <w:b/>
        </w:rPr>
        <w:t xml:space="preserve">未被证明优于</w:t>
      </w:r>
      <w:r>
        <w:t xml:space="preserve">提示词，</w:t>
      </w:r>
      <w:r>
        <w:rPr>
          <w:bCs/>
          <w:b/>
        </w:rPr>
        <w:t xml:space="preserve">不等于</w:t>
      </w:r>
      <w:r>
        <w:t xml:space="preserve">"状态驱动这条路无效"。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待办分级与供料追踪"/>
    <w:p>
      <w:pPr>
        <w:pStyle w:val="Heading2"/>
      </w:pPr>
      <w:r>
        <w:t xml:space="preserve">3 · 待办分级与供料追踪</w:t>
      </w:r>
    </w:p>
    <w:bookmarkStart w:id="32" w:name="条真实待办的分级判据定版状态"/>
    <w:p>
      <w:pPr>
        <w:pStyle w:val="Heading3"/>
      </w:pPr>
      <w:r>
        <w:t xml:space="preserve">3.1 ★ 24 条真实待办的分级（判据定版状态）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2"/>
    <w:bookmarkStart w:id="33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§2.3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§2.3b 方向判定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末行 + §1.2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3"/>
    <w:bookmarkStart w:id="34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回源与证据档位"/>
    <w:p>
      <w:pPr>
        <w:pStyle w:val="Heading2"/>
      </w:pPr>
      <w:r>
        <w:t xml:space="preserve">4 · 回源与证据档位</w:t>
      </w:r>
    </w:p>
    <w:bookmarkStart w:id="36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6"/>
    <w:bookmarkStart w:id="37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39"/>
    <w:bookmarkStart w:id="41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S1 · 数据刷新</w:t>
      </w:r>
      <w:r>
        <w:t xml:space="preserve"> </w:t>
      </w:r>
      <w:r>
        <w:t xml:space="preserve">| 第二组批跑满 360/360 |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（零生成调用）| 最新 H0 / θ₀ / 逐格效应 / 检出力地板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S2 · A 篇判决</w:t>
      </w:r>
      <w:r>
        <w:t xml:space="preserve"> </w:t>
      </w:r>
      <w:r>
        <w:t xml:space="preserve">| S1 完成 | 判"仍不可分辨"（⇒ 结论加固）或"转为可分辨"（⇒</w:t>
      </w:r>
      <w:r>
        <w:t xml:space="preserve"> </w:t>
      </w:r>
      <w:r>
        <w:rPr>
          <w:bCs/>
          <w:b/>
        </w:rPr>
        <w:t xml:space="preserve">重审 §5.9</w:t>
      </w:r>
      <w:r>
        <w:t xml:space="preserve">）| A 篇终稿句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S3 · 硬阻塞清账</w:t>
      </w:r>
      <w:r>
        <w:t xml:space="preserve"> </w:t>
      </w:r>
      <w:r>
        <w:t xml:space="preserve">| M2.1/M2 支数口径修正 + 法律域重跑 | 2×2 饱和度重跑 | A 篇 §1.3 贡献 2 定稿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S4 · D 篇扩样</w:t>
      </w:r>
      <w:r>
        <w:t xml:space="preserve"> </w:t>
      </w:r>
      <w:r>
        <w:t xml:space="preserve">| n≈20 C1 vs C0（¥17，判据已写全）| 第四组执行 | D 篇 §6 定稿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S5 · B 篇</w:t>
      </w:r>
      <w:r>
        <w:t xml:space="preserve"> </w:t>
      </w:r>
      <w:r>
        <w:t xml:space="preserve">| 三组 3 项必补实验 | 三组执行 | B 篇正文（从缺口清单落成）|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0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§2.3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（§2.1③ / §1.2）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0"/>
    <w:bookmarkEnd w:id="41"/>
    <w:bookmarkStart w:id="42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交差包 12 项核验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2026-10-24T09:09:32Z</dcterms:created>
  <dcterms:modified xsi:type="dcterms:W3CDTF">2026-10-24T09:09:32Z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