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lm-creativity-mechanism-papers"/>
    <w:p>
      <w:pPr>
        <w:pStyle w:val="Heading1"/>
      </w:pPr>
      <w:r>
        <w:t xml:space="preserve">LLM Creativity Mechanism Papers</w:t>
      </w:r>
    </w:p>
    <w:p>
      <w:pPr>
        <w:pStyle w:val="FirstParagraph"/>
      </w:pPr>
      <w:r>
        <w:rPr>
          <w:bCs/>
          <w:b/>
        </w:rPr>
        <w:t xml:space="preserve">四篇关于「LLM Agent 创造力」的论文初稿 + 一份合订本</w:t>
      </w:r>
      <w:r>
        <w:t xml:space="preserve"> </w:t>
      </w:r>
      <w:r>
        <w:t xml:space="preserve">MIT License ｜ 2026-10-24 交差版</w:t>
      </w:r>
    </w:p>
    <w:p>
      <w:pPr>
        <w:pStyle w:val="BlockText"/>
      </w:pPr>
      <w:r>
        <w:rPr>
          <w:bCs/>
          <w:b/>
        </w:rPr>
        <w:t xml:space="preserve">本仓只放成果</w:t>
      </w:r>
      <w:r>
        <w:t xml:space="preserve">：四篇论文正文（Markdown + DOCX）、合订本、可核验的支撑材料。</w:t>
      </w:r>
      <w:r>
        <w:t xml:space="preserve"> </w:t>
      </w:r>
      <w:r>
        <w:rPr>
          <w:bCs/>
          <w:b/>
        </w:rPr>
        <w:t xml:space="preserve">不含</w:t>
      </w:r>
      <w:r>
        <w:t xml:space="preserve">：过程日志、跑批输出、实验运行目录、工具内部实现、会话记录。★ 那些留在过程仓（私有），不在这里。</w:t>
      </w:r>
    </w:p>
    <w:p>
      <w:r>
        <w:pict>
          <v:rect style="width:0;height:1.5pt" o:hralign="center" o:hrstd="t" o:hr="t"/>
        </w:pict>
      </w:r>
    </w:p>
    <w:bookmarkStart w:id="21" w:name="四篇是什么"/>
    <w:p>
      <w:pPr>
        <w:pStyle w:val="Heading2"/>
      </w:pPr>
      <w:r>
        <w:t xml:space="preserve">四篇是什么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Six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创造力研究里「</w:t>
            </w:r>
            <w:r>
              <w:rPr>
                <w:bCs/>
                <w:b/>
              </w:rPr>
              <w:t xml:space="preserve">看起来完成</w:t>
            </w:r>
            <w:r>
              <w:t xml:space="preserve">」与「</w:t>
            </w:r>
            <w:r>
              <w:rPr>
                <w:bCs/>
                <w:b/>
              </w:rPr>
              <w:t xml:space="preserve">被独立验证过</w:t>
            </w:r>
            <w:r>
              <w:t xml:space="preserve">」之间有系统性落差；给出可执行防伪规程 + 外部只读审计协议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Selection Is Not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在有外部可核验依据的域上，</w:t>
            </w:r>
            <w:r>
              <w:rPr>
                <w:bCs/>
                <w:b/>
              </w:rPr>
              <w:t xml:space="preserve">工作流类创造力方法不产生增量</w:t>
            </w:r>
            <w:r>
              <w:t xml:space="preserve">；「在有限样本上选赢家」是过拟合的结构性根源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可投（结论为</w:t>
            </w:r>
            <w:r>
              <w:rPr>
                <w:bCs/>
                <w:b/>
              </w:rPr>
              <w:t xml:space="preserve">窄表述</w:t>
            </w:r>
            <w:r>
              <w:t xml:space="preserve">，见下）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State Machine Is Not Yet a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当前形态的状态机未被证明优于等强度提示词</w:t>
            </w:r>
            <w:r>
              <w:t xml:space="preserve">——这是边界结论；贡献在「如何把这个问题变成可判定的」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整合稿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Premature Convergence Is a Structural-Dimensional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的可证伪命题；给出三层分离协议；判决是</w:t>
            </w:r>
            <w:r>
              <w:rPr>
                <w:bCs/>
                <w:b/>
              </w:rPr>
              <w:t xml:space="preserve">混合的</w:t>
            </w:r>
            <w:r>
              <w:t xml:space="preserve">（表述层成立 / 解码层否定 / 注意力归因不支持）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Genre Drift and Object Drift Are One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工作流把用户问题「降格」成待分析对象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只有缺口清单与预注册骨架</w:t>
            </w:r>
            <w:r>
              <w:t xml:space="preserve">（3 项必补实验未做 ⇒ 不出空壳正文）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为什么是四篇不是一篇</w:t>
      </w:r>
      <w:r>
        <w:t xml:space="preserve">：</w:t>
      </w:r>
      <w:r>
        <w:rPr>
          <w:bCs/>
          <w:b/>
        </w:rPr>
        <w:t xml:space="preserve">「合并的诱惑来自『材料都在手上』，不是来自『科学上该合』」</w:t>
      </w:r>
      <w:r>
        <w:t xml:space="preserve">。</w:t>
      </w:r>
      <w:r>
        <w:t xml:space="preserve"> </w:t>
      </w:r>
      <w:r>
        <w:t xml:space="preserve">切分标准是</w:t>
      </w:r>
      <w:r>
        <w:rPr>
          <w:bCs/>
          <w:b/>
        </w:rPr>
        <w:t xml:space="preserve">一篇 = 一个可独立投稿的 claim</w:t>
      </w:r>
      <w:r>
        <w:t xml:space="preserve">，且须同时满足 ① 独立判据 ② 独立数据 ③ 独立论点。</w:t>
      </w:r>
    </w:p>
    <w:bookmarkStart w:id="20" w:name="目录"/>
    <w:p>
      <w:pPr>
        <w:pStyle w:val="Heading3"/>
      </w:pPr>
      <w:r>
        <w:t xml:space="preserve">目录</w:t>
      </w:r>
    </w:p>
    <w:p>
      <w:pPr>
        <w:pStyle w:val="SourceCode"/>
      </w:pPr>
      <w:r>
        <w:rPr>
          <w:rStyle w:val="VerbatimChar"/>
        </w:rPr>
        <w:t xml:space="preserve">papers/     四篇正文（.md + .docx）+ 合订本</w:t>
      </w:r>
      <w:r>
        <w:br/>
      </w:r>
      <w:r>
        <w:rPr>
          <w:rStyle w:val="VerbatimChar"/>
        </w:rPr>
        <w:t xml:space="preserve">support/    总纲 · B 篇缺口清单与预注册 · 待填审计（24 条分级）· 回源对照表 · 交差说明</w:t>
      </w:r>
      <w:r>
        <w:br/>
      </w:r>
      <w:r>
        <w:rPr>
          <w:rStyle w:val="VerbatimChar"/>
        </w:rPr>
        <w:t xml:space="preserve">tools/      构建与核验脚本（build_docx.sh · check_docx.py）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合订本</w:t>
      </w:r>
      <w:r>
        <w:t xml:space="preserve">（</w:t>
      </w:r>
      <w:r>
        <w:rPr>
          <w:rStyle w:val="VerbatimChar"/>
        </w:rPr>
        <w:t xml:space="preserve">papers/09_四篇初稿_合订本_2026-10-24.*</w:t>
      </w:r>
      <w:r>
        <w:t xml:space="preserve">）是</w:t>
      </w:r>
      <w:r>
        <w:rPr>
          <w:bCs/>
          <w:b/>
        </w:rPr>
        <w:t xml:space="preserve">先读这个</w:t>
      </w:r>
      <w:r>
        <w:t xml:space="preserve">：一页纸、跨篇必须一起讲的三条限定、逐篇判决与「不能支撑什么」、24 条待办分级、供料追踪、回源与证据档位、已知缺陷主动披露。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三条必须一起讲的限定"/>
    <w:p>
      <w:pPr>
        <w:pStyle w:val="Heading2"/>
      </w:pPr>
      <w:r>
        <w:t xml:space="preserve">★ 三条必须一起讲的限定</w:t>
      </w:r>
    </w:p>
    <w:p>
      <w:pPr>
        <w:pStyle w:val="BlockText"/>
      </w:pPr>
      <w:r>
        <w:rPr>
          <w:bCs/>
          <w:b/>
        </w:rPr>
        <w:t xml:space="preserve">这三条不是某一篇的内部问题，而是跨篇共享、且会改变读者对结论强度判断的事实。</w:t>
      </w:r>
      <w:r>
        <w:t xml:space="preserve"> </w:t>
      </w:r>
      <w:r>
        <w:rPr>
          <w:bCs/>
          <w:b/>
        </w:rPr>
        <w:t xml:space="preserve">主动说，比被逐条追问强得多。</w:t>
      </w:r>
    </w:p>
    <w:p>
      <w:pPr>
        <w:pStyle w:val="FirstParagraph"/>
      </w:pPr>
      <w:r>
        <w:rPr>
          <w:bCs/>
          <w:b/>
        </w:rPr>
        <w:t xml:space="preserve">1 · 型号池静默下架 ⇒ 历史 dual 臂读数的分母是 4，不是 5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池第 5 位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 </w:t>
      </w:r>
      <w:r>
        <w:t xml:space="preserve">已 404 ⇒ 5 分支臂的第 5 支返空 ⇒ 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 ⇒</w:t>
      </w:r>
      <w:r>
        <w:t xml:space="preserve"> </w:t>
      </w:r>
      <w:r>
        <w:rPr>
          <w:bCs/>
          <w:b/>
        </w:rPr>
        <w:t xml:space="preserve">5 支静默变 4 支，表上看不出来</w:t>
      </w:r>
      <w:r>
        <w:t xml:space="preserve">。</w:t>
      </w:r>
      <w:r>
        <w:t xml:space="preserve"> </w:t>
      </w:r>
      <w:r>
        <w:t xml:space="preserve">★ 晚间独立复核还查出</w:t>
      </w:r>
      <w:r>
        <w:t xml:space="preserve"> </w:t>
      </w:r>
      <w:r>
        <w:rPr>
          <w:rStyle w:val="VerbatimChar"/>
        </w:rPr>
        <w:t xml:space="preserve">MiniMax-M2</w:t>
      </w:r>
      <w:r>
        <w:t xml:space="preserve">（第 6 支）同为死型号 ⇒</w:t>
      </w:r>
      <w:r>
        <w:t xml:space="preserve"> </w:t>
      </w:r>
      <w:r>
        <w:rPr>
          <w:bCs/>
          <w:b/>
        </w:rPr>
        <w:t xml:space="preserve">任何声称用满 6 支的场合，读数都要先核支数是否真为 6</w:t>
      </w:r>
      <w:r>
        <w:t xml:space="preserve">。</w:t>
      </w:r>
      <w:r>
        <w:t xml:space="preserve"> </w:t>
      </w:r>
      <w:r>
        <w:t xml:space="preserve">★ 历史对照值</w:t>
      </w:r>
      <w:r>
        <w:t xml:space="preserve"> </w:t>
      </w:r>
      <w:r>
        <w:rPr>
          <w:rStyle w:val="VerbatimChar"/>
        </w:rPr>
        <w:t xml:space="preserve">+0.0483</w:t>
      </w:r>
      <w:r>
        <w:t xml:space="preserve"> </w:t>
      </w:r>
      <w:r>
        <w:t xml:space="preserve">因此</w:t>
      </w:r>
      <w:r>
        <w:rPr>
          <w:bCs/>
          <w:b/>
        </w:rPr>
        <w:t xml:space="preserve">作废</w:t>
      </w:r>
      <w:r>
        <w:t xml:space="preserve">（它算在 4 支口径下）⇒ 对照域必须</w:t>
      </w:r>
      <w:r>
        <w:rPr>
          <w:bCs/>
          <w:b/>
        </w:rPr>
        <w:t xml:space="preserve">重跑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2 · 层1 的归因天花板：注意力机制归因不成立，不是「没做」</w:t>
      </w:r>
      <w:r>
        <w:t xml:space="preserve"> </w:t>
      </w:r>
      <w:r>
        <w:t xml:space="preserve">全仓</w:t>
      </w:r>
      <w:r>
        <w:rPr>
          <w:bCs/>
          <w:b/>
        </w:rPr>
        <w:t xml:space="preserve">没有任何</w:t>
      </w:r>
      <w:r>
        <w:t xml:space="preserve">注意力权重 / logits / hidden state / 内部激活数据；托管 API</w:t>
      </w:r>
      <w:r>
        <w:t xml:space="preserve"> </w:t>
      </w:r>
      <w:r>
        <w:rPr>
          <w:bCs/>
          <w:b/>
        </w:rPr>
        <w:t xml:space="preserve">静默忽略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logprobs</w:t>
      </w:r>
      <w:r>
        <w:t xml:space="preserve"> </w:t>
      </w:r>
      <w:r>
        <w:t xml:space="preserve">⇒ NLL / perplexity / typicality / PMI 全族作废；无 GPU。</w:t>
      </w:r>
      <w:r>
        <w:t xml:space="preserve"> </w:t>
      </w:r>
      <w:r>
        <w:t xml:space="preserve">⇒ 唯一允许的写法：</w:t>
      </w:r>
      <w:r>
        <w:rPr>
          <w:bCs/>
          <w:b/>
        </w:rPr>
        <w:t xml:space="preserve">「与注意力机制相容，但本文未检验该假设」</w:t>
      </w:r>
      <w:r>
        <w:t xml:space="preserve">。这是</w:t>
      </w:r>
      <w:r>
        <w:rPr>
          <w:bCs/>
          <w:b/>
        </w:rPr>
        <w:t xml:space="preserve">能力边界，不是未尝试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3 · 「不可分辨」≠「无效应」</w:t>
      </w:r>
      <w:r>
        <w:t xml:space="preserve"> </w:t>
      </w:r>
      <w:r>
        <w:t xml:space="preserve">凡报「不可分辨」，</w:t>
      </w:r>
      <w:r>
        <w:rPr>
          <w:bCs/>
          <w:b/>
        </w:rPr>
        <w:t xml:space="preserve">必须同时报检出力地板</w:t>
      </w:r>
      <w:r>
        <w:t xml:space="preserve">；门槛锚在</w:t>
      </w:r>
      <w:r>
        <w:rPr>
          <w:bCs/>
          <w:b/>
        </w:rPr>
        <w:t xml:space="preserve">本批自己的噪声地板</w:t>
      </w:r>
      <w:r>
        <w:t xml:space="preserve">，不许拿文献阈值当判决线；方向一致只能作辅助条件且须先过 H0 标定。</w:t>
      </w:r>
      <w:r>
        <w:t xml:space="preserve"> </w:t>
      </w:r>
      <w:r>
        <w:t xml:space="preserve">★ H0 的唯一合法来源 =</w:t>
      </w:r>
      <w:r>
        <w:t xml:space="preserve"> </w:t>
      </w:r>
      <w:r>
        <w:rPr>
          <w:bCs/>
          <w:b/>
        </w:rPr>
        <w:t xml:space="preserve">同臂、同题、不同 rep</w:t>
      </w:r>
      <w:r>
        <w:t xml:space="preserve">（rep 差异是纯噪声 ⇒ 天然零分布）。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θ₀ 以题内 rep σ 为单位</w:t>
      </w:r>
      <w:r>
        <w:t xml:space="preserve">（如 θ₀ = 1.33 σ），引用时必须写成「≥ θ₀ 个题内 rep σ」——否则会被误读成绝对阈值。</w:t>
      </w:r>
    </w:p>
    <w:p>
      <w:r>
        <w:pict>
          <v:rect style="width:0;height:1.5pt" o:hralign="center" o:hrstd="t" o:hr="t"/>
        </w:pict>
      </w:r>
    </w:p>
    <w:bookmarkEnd w:id="22"/>
    <w:bookmarkStart w:id="23" w:name="证据四档对外一律按这四档说"/>
    <w:p>
      <w:pPr>
        <w:pStyle w:val="Heading2"/>
      </w:pPr>
      <w:r>
        <w:t xml:space="preserve">证据四档（对外一律按这四档说）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</w:t>
            </w:r>
            <w:r>
              <w:rPr>
                <w:bCs/>
                <w:b/>
              </w:rPr>
              <w:t xml:space="preserve">预注册在先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修正的必要性不依赖结果方向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  <w:r>
              <w:t xml:space="preserve"> </w:t>
            </w:r>
            <w:r>
              <w:rPr>
                <w:bCs/>
                <w:b/>
              </w:rPr>
              <w:t xml:space="preserve">探索性 / 事后校准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无事前预注册</w:t>
            </w:r>
            <w:r>
              <w:t xml:space="preserve">，只作方向性证据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rPr>
                <w:bCs/>
                <w:b/>
              </w:rPr>
              <w:t xml:space="preserve">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判据已定版 · 等跑批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回源对照表</w:t>
      </w:r>
      <w:r>
        <w:t xml:space="preserve">（</w:t>
      </w:r>
      <w:r>
        <w:rPr>
          <w:rStyle w:val="VerbatimChar"/>
        </w:rPr>
        <w:t xml:space="preserve">support/08_回源对照表.md</w:t>
      </w:r>
      <w:r>
        <w:t xml:space="preserve">）给出每个头条数字 → 源文件:行号的对照，</w:t>
      </w:r>
      <w:r>
        <w:rPr>
          <w:bCs/>
          <w:b/>
        </w:rPr>
        <w:t xml:space="preserve">84 / 84 定位命中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待填审计</w:t>
      </w:r>
      <w:r>
        <w:t xml:space="preserve">（</w:t>
      </w:r>
      <w:r>
        <w:rPr>
          <w:rStyle w:val="VerbatimChar"/>
        </w:rPr>
        <w:t xml:space="preserve">support/07_待填审计_判据定版状态.md</w:t>
      </w:r>
      <w:r>
        <w:t xml:space="preserve">）把全部真实待办逐条分级：</w:t>
      </w:r>
      <w:r>
        <w:rPr>
          <w:bCs/>
          <w:b/>
        </w:rPr>
        <w:t xml:space="preserve">24 条</w:t>
      </w:r>
      <w:r>
        <w:t xml:space="preserve">（不是 34，也不是 16）——其中</w:t>
      </w:r>
      <w:r>
        <w:t xml:space="preserve"> </w:t>
      </w:r>
      <w:r>
        <w:rPr>
          <w:rStyle w:val="VerbatimChar"/>
        </w:rPr>
        <w:t xml:space="preserve">✅</w:t>
      </w:r>
      <w:r>
        <w:t xml:space="preserve"> </w:t>
      </w:r>
      <w:r>
        <w:t xml:space="preserve">判据已定版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条、</w:t>
      </w:r>
      <w:r>
        <w:rPr>
          <w:rStyle w:val="VerbatimChar"/>
        </w:rPr>
        <w:t xml:space="preserve">◐</w:t>
      </w:r>
      <w:r>
        <w:t xml:space="preserve"> </w:t>
      </w:r>
      <w:r>
        <w:t xml:space="preserve">形式待补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条、</w:t>
      </w:r>
      <w:r>
        <w:rPr>
          <w:rStyle w:val="VerbatimChar"/>
        </w:rPr>
        <w:t xml:space="preserve">✖</w:t>
      </w:r>
      <w:r>
        <w:t xml:space="preserve"> </w:t>
      </w:r>
      <w:r>
        <w:t xml:space="preserve">未成文或当前条件下不可判定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条。</w:t>
      </w:r>
      <w:r>
        <w:t xml:space="preserve"> </w:t>
      </w:r>
      <w:r>
        <w:t xml:space="preserve">★ 判据定版状态是</w:t>
      </w:r>
      <w:r>
        <w:rPr>
          <w:bCs/>
          <w:b/>
        </w:rPr>
        <w:t xml:space="preserve">可核验的表</w:t>
      </w:r>
      <w:r>
        <w:t xml:space="preserve">，不是口头承诺。</w:t>
      </w:r>
    </w:p>
    <w:p>
      <w:r>
        <w:pict>
          <v:rect style="width:0;height:1.5pt" o:hralign="center" o:hrstd="t" o:hr="t"/>
        </w:pict>
      </w:r>
    </w:p>
    <w:bookmarkEnd w:id="23"/>
    <w:bookmarkStart w:id="24" w:name="复现与核验"/>
    <w:p>
      <w:pPr>
        <w:pStyle w:val="Heading2"/>
      </w:pPr>
      <w:r>
        <w:t xml:space="preserve">复现与核验</w:t>
      </w:r>
    </w:p>
    <w:p>
      <w:pPr>
        <w:pStyle w:val="SourceCode"/>
      </w:pPr>
      <w:r>
        <w:rPr>
          <w:rStyle w:val="CommentTok"/>
        </w:rPr>
        <w:t xml:space="preserve"># 1) 从 Markdown 重建全部 DOCX（★ 构建命令固化 ⇒ 外部可逐字节重建）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tools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build_docx.sh ../papers</w:t>
      </w:r>
      <w:r>
        <w:br/>
      </w:r>
      <w:r>
        <w:br/>
      </w:r>
      <w:r>
        <w:rPr>
          <w:rStyle w:val="CommentTok"/>
        </w:rPr>
        <w:t xml:space="preserve"># 2) 核验 DOCX 无单元格丢失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tools/check_docx.py papers</w:t>
      </w:r>
      <w:r>
        <w:br/>
      </w:r>
      <w:r>
        <w:br/>
      </w:r>
      <w:r>
        <w:rPr>
          <w:rStyle w:val="CommentTok"/>
        </w:rPr>
        <w:t xml:space="preserve"># 3) 完整性校验（每个文件一行 sha256）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为什么把 pandoc 参数写死随包交付</w:t>
      </w:r>
      <w:r>
        <w:t xml:space="preserve">：pandoc 默认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扩展会把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“”</w:t>
      </w:r>
      <w:r>
        <w:t xml:space="preserve">、</w:t>
      </w:r>
      <w:r>
        <w:rPr>
          <w:rStyle w:val="VerbatimChar"/>
        </w:rPr>
        <w:t xml:space="preserve">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⇒ 同一份 md 在不同机器/不同 pandoc 版本下可能产出不同的 docx ⇒ 外部就复核不了我们交付的 docx ⇒ 关闭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md 与 docx 逐字一致</w:t>
      </w:r>
      <w:r>
        <w:t xml:space="preserve"> </w:t>
      </w:r>
      <w:r>
        <w:t xml:space="preserve">⇒ 「单元格零丢失」才是个真判据。</w:t>
      </w:r>
    </w:p>
    <w:p>
      <w:r>
        <w:pict>
          <v:rect style="width:0;height:1.5pt" o:hralign="center" o:hrstd="t" o:hr="t"/>
        </w:pict>
      </w:r>
    </w:p>
    <w:bookmarkEnd w:id="24"/>
    <w:bookmarkStart w:id="25" w:name="本仓的诚实边界"/>
    <w:p>
      <w:pPr>
        <w:pStyle w:val="Heading2"/>
      </w:pPr>
      <w:r>
        <w:t xml:space="preserve">★ 本仓的诚实边界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条待办中 9 条判据未成文或不可判定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已分级公开</w:t>
            </w:r>
            <w:r>
              <w:t xml:space="preserve">（</w:t>
            </w:r>
            <w:r>
              <w:rPr>
                <w:rStyle w:val="VerbatimChar"/>
              </w:rPr>
              <w:t xml:space="preserve">support/07_</w:t>
            </w:r>
            <w:r>
              <w:t xml:space="preserve">）——★ 这一条决定了「哪些结论现在就能下、哪些只能写成计划」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篇是</w:t>
            </w:r>
            <w:r>
              <w:t xml:space="preserve"> </w:t>
            </w:r>
            <w:r>
              <w:rPr>
                <w:bCs/>
                <w:b/>
              </w:rPr>
              <w:t xml:space="preserve">position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</w:t>
            </w:r>
            <w:r>
              <w:rPr>
                <w:bCs/>
                <w:b/>
              </w:rPr>
              <w:t xml:space="preserve">没有主实验</w:t>
            </w:r>
            <w:r>
              <w:t xml:space="preserve">。它的价值要靠「用了规程之后误报率降了多少」兑现，</w:t>
            </w:r>
            <w:r>
              <w:rPr>
                <w:bCs/>
                <w:b/>
              </w:rPr>
              <w:t xml:space="preserve">而该量化尚未成文</w:t>
            </w:r>
            <w:r>
              <w:t xml:space="preserve">（连「误报率」的口径都还没定义）⇒ C 篇现在的交付形态是</w:t>
            </w:r>
            <w:r>
              <w:rPr>
                <w:bCs/>
                <w:b/>
              </w:rPr>
              <w:t xml:space="preserve">规程 + 六个真实失效案例 + 一套可执行的审计协议</w:t>
            </w:r>
            <w:r>
              <w:t xml:space="preserve">，</w:t>
            </w:r>
            <w:r>
              <w:rPr>
                <w:bCs/>
                <w:b/>
              </w:rPr>
              <w:t xml:space="preserve">不是</w:t>
            </w:r>
            <w:r>
              <w:t xml:space="preserve">一个已被验证能提升准确率的结论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篇结论为</w:t>
            </w:r>
            <w:r>
              <w:rPr>
                <w:bCs/>
                <w:b/>
              </w:rPr>
              <w:t xml:space="preserve">窄表述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不是「架构没用」，而是「</w:t>
            </w:r>
            <w:r>
              <w:rPr>
                <w:bCs/>
                <w:b/>
              </w:rPr>
              <w:t xml:space="preserve">架构的杠杆是【交互结构 × 任务结构】的交互，且二者必须分开测</w:t>
            </w:r>
            <w:r>
              <w:t xml:space="preserve">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判决是</w:t>
            </w:r>
            <w:r>
              <w:rPr>
                <w:bCs/>
                <w:b/>
              </w:rPr>
              <w:t xml:space="preserve">混合的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表述层成立 / 解码层否定 / 注意力归因不支持 ⇒</w:t>
            </w:r>
            <w:r>
              <w:t xml:space="preserve"> </w:t>
            </w:r>
            <w:r>
              <w:rPr>
                <w:bCs/>
                <w:b/>
              </w:rPr>
              <w:t xml:space="preserve">必须拆开写</w:t>
            </w:r>
            <w:r>
              <w:t xml:space="preserve">，否则读者会把 (i) 的证据当成 (ii) 的证据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篇是</w:t>
            </w:r>
            <w:r>
              <w:rPr>
                <w:bCs/>
                <w:b/>
              </w:rPr>
              <w:t xml:space="preserve">边界结论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「当前形态的状态机未被证明优于等强度提示词」≠「状态驱动这条路无效」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篇</w:t>
            </w:r>
            <w:r>
              <w:rPr>
                <w:bCs/>
                <w:b/>
              </w:rPr>
              <w:t xml:space="preserve">没有正文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项必补实验未做 ⇒ 只有缺口清单与预注册骨架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本仓是交差初稿，不是终稿。</w:t>
      </w:r>
      <w:r>
        <w:t xml:space="preserve"> </w:t>
      </w:r>
      <w:r>
        <w:t xml:space="preserve">终稿的剩余工作（及其阻塞）在合订本 §3.2「供料追踪」与 §6「终稿路径」里逐条列明。</w:t>
      </w:r>
    </w:p>
    <w:p>
      <w:r>
        <w:pict>
          <v:rect style="width:0;height:1.5pt" o:hralign="center" o:hrstd="t" o:hr="t"/>
        </w:pict>
      </w:r>
    </w:p>
    <w:bookmarkEnd w:id="25"/>
    <w:bookmarkStart w:id="26" w:name="引用"/>
    <w:p>
      <w:pPr>
        <w:pStyle w:val="Heading2"/>
      </w:pPr>
      <w:r>
        <w:t xml:space="preserve">引用</w:t>
      </w:r>
    </w:p>
    <w:p>
      <w:pPr>
        <w:pStyle w:val="FirstParagraph"/>
      </w:pPr>
      <w:r>
        <w:t xml:space="preserve">★ BibTeX 见</w:t>
      </w:r>
      <w:r>
        <w:t xml:space="preserve"> </w:t>
      </w:r>
      <w:r>
        <w:rPr>
          <w:rStyle w:val="VerbatimChar"/>
        </w:rPr>
        <w:t xml:space="preserve">papers.bib</w:t>
      </w:r>
      <w:r>
        <w:t xml:space="preserve">。★</w:t>
      </w:r>
      <w:r>
        <w:t xml:space="preserve"> </w:t>
      </w:r>
      <w:r>
        <w:rPr>
          <w:bCs/>
          <w:b/>
        </w:rPr>
        <w:t xml:space="preserve">作者与发表信息为占位</w:t>
      </w:r>
      <w:r>
        <w:t xml:space="preserve">，正式投稿前补全。</w:t>
      </w:r>
    </w:p>
    <w:p>
      <w:pPr>
        <w:pStyle w:val="SourceCode"/>
      </w:pP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lixvanran2026papers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= {LLM Creativity Mechanism Papers (working drafts)},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= {lixvanran},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= {MIT License. Working drafts; see README for evidence tiers and known limitations.}</w:t>
      </w:r>
      <w:r>
        <w:br/>
      </w:r>
      <w:r>
        <w:rPr>
          <w:rStyle w:val="NormalTok"/>
        </w:rPr>
        <w:t xml:space="preserve">}</w:t>
      </w:r>
    </w:p>
    <w:bookmarkEnd w:id="26"/>
    <w:bookmarkStart w:id="2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—— 见</w:t>
      </w:r>
      <w:r>
        <w:t xml:space="preserve"> </w:t>
      </w:r>
      <w:hyperlink r:id="rId27">
        <w:r>
          <w:rPr>
            <w:rStyle w:val="Hyperlink"/>
          </w:rPr>
          <w:t xml:space="preserve">LICENSE</w:t>
        </w:r>
      </w:hyperlink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引用本仓成果时请保留各篇「诚实边界」与「证据四档」的标注</w:t>
      </w:r>
      <w:r>
        <w:t xml:space="preserve">——那不是免责声明，是结论的一部分。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src-sha256:55c19c22ad6b0165b960c79e51decb86cdfd48852e1f5a84c6e0249b7a358b52</cp:keywords>
  <dcterms:created xsi:type="dcterms:W3CDTF">2026-10-24T20:02:56Z</dcterms:created>
  <dcterms:modified xsi:type="dcterms:W3CDTF">2026-10-24T20:02:56Z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