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00"/>
        <w:jc w:val="center"/>
      </w:pPr>
      <w:r>
        <w:rPr>
          <w:rFonts w:ascii="Calibri" w:hAnsi="Calibri" w:eastAsia="Calibri"/>
          <w:b/>
          <w:i w:val="0"/>
          <w:color w:val="ED6A3A"/>
          <w:sz w:val="20"/>
        </w:rPr>
        <w:t>WOLLIE  /  COMPETITIVE DEEP DIVE</w:t>
      </w:r>
    </w:p>
    <w:p>
      <w:pPr>
        <w:spacing w:after="280" w:line="245" w:lineRule="auto"/>
        <w:jc w:val="center"/>
      </w:pPr>
      <w:r>
        <w:rPr>
          <w:rFonts w:ascii="Calibri" w:hAnsi="Calibri" w:eastAsia="Calibri"/>
          <w:b/>
          <w:i w:val="0"/>
          <w:color w:val="082C4C"/>
          <w:sz w:val="58"/>
        </w:rPr>
        <w:t>Wise, Revolut, and Monarch</w:t>
      </w:r>
    </w:p>
    <w:p>
      <w:pPr>
        <w:spacing w:after="680"/>
        <w:jc w:val="center"/>
      </w:pPr>
      <w:r>
        <w:rPr>
          <w:rFonts w:ascii="Calibri" w:hAnsi="Calibri" w:eastAsia="Calibri"/>
          <w:b w:val="0"/>
          <w:i w:val="0"/>
          <w:color w:val="667085"/>
          <w:sz w:val="28"/>
        </w:rPr>
        <w:t>UX, UI, product logic, strengths, weaknesses, and decisions for Wollie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8EF" w:val="clear"/>
            <w:tcBorders>
              <w:top w:val="single" w:sz="12" w:color="ED6A3A"/>
              <w:bottom w:val="single" w:sz="12" w:color="ED6A3A"/>
            </w:tcBorders>
          </w:tcPr>
          <w:p>
            <w:pPr>
              <w:spacing w:before="0" w:after="0" w:line="264" w:lineRule="auto"/>
              <w:jc w:val="center"/>
            </w:pPr>
            <w:r>
              <w:rPr>
                <w:rFonts w:ascii="Calibri" w:hAnsi="Calibri" w:eastAsia="Calibri"/>
                <w:b/>
                <w:i w:val="0"/>
                <w:color w:val="082C4C"/>
                <w:sz w:val="22"/>
              </w:rPr>
              <w:t>Wise  /  Revolut  /  Monarch</w:t>
              <w:br/>
              <w:t>Research current to 1 September 2026</w:t>
            </w:r>
          </w:p>
        </w:tc>
      </w:tr>
    </w:tbl>
    <w:p>
      <w:pPr>
        <w:spacing w:before="700" w:after="0" w:line="264" w:lineRule="auto"/>
        <w:jc w:val="center"/>
      </w:pPr>
      <w:r>
        <w:rPr>
          <w:rFonts w:ascii="Calibri" w:hAnsi="Calibri" w:eastAsia="Calibri"/>
          <w:b w:val="0"/>
          <w:i/>
          <w:color w:val="667085"/>
          <w:sz w:val="21"/>
        </w:rPr>
        <w:t>Official product documentation and annual reports are the primary evidence. Public user discussions are labeled as anecdotal signals.</w:t>
      </w:r>
    </w:p>
    <w:p>
      <w:r>
        <w:br w:type="page"/>
      </w:r>
    </w:p>
    <w:p>
      <w:pPr>
        <w:pStyle w:val="Heading1"/>
        <w:keepNext/>
        <w:spacing w:before="0" w:after="80" w:line="264" w:lineRule="auto"/>
      </w:pPr>
      <w:r>
        <w:rPr>
          <w:rFonts w:ascii="Calibri" w:hAnsi="Calibri" w:eastAsia="Calibri"/>
          <w:b/>
          <w:i w:val="0"/>
          <w:color w:val="2E74B5"/>
          <w:sz w:val="32"/>
        </w:rPr>
        <w:t>The answer in one page</w:t>
      </w:r>
    </w:p>
    <w:p>
      <w:pPr>
        <w:spacing w:before="0" w:after="200" w:line="264" w:lineRule="auto"/>
      </w:pPr>
      <w:r>
        <w:rPr>
          <w:rFonts w:ascii="Calibri" w:hAnsi="Calibri" w:eastAsia="Calibri"/>
          <w:b w:val="0"/>
          <w:i w:val="0"/>
          <w:color w:val="082C4C"/>
          <w:sz w:val="24"/>
        </w:rPr>
        <w:t>These products are not three versions of the same app. Wise is an international money account, Revolut is a digital banking super-app, and Monarch is a cross-bank planning layer. Wollie should combine their strongest interaction patterns without combining their complexity.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Recommended position  </w:t>
            </w:r>
            <w:r>
              <w:rPr>
                <w:rFonts w:ascii="Calibri" w:hAnsi="Calibri" w:eastAsia="Calibri"/>
                <w:b w:val="0"/>
                <w:i w:val="0"/>
                <w:color w:val="17212B"/>
                <w:sz w:val="21"/>
              </w:rPr>
              <w:t>A calm, couples-first money planning layer across joint, separate, or mixed bank accounts. It coordinates the household without pretending a virtual plan moved real money.</w:t>
            </w:r>
          </w:p>
        </w:tc>
      </w:tr>
    </w:tbl>
    <w:p>
      <w:pPr>
        <w:spacing w:after="0"/>
      </w:pP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17"/>
              </w:rPr>
              <w:t>WISE</w:t>
              <w:br/>
            </w:r>
            <w:r>
              <w:rPr>
                <w:rFonts w:ascii="Calibri" w:hAnsi="Calibri" w:eastAsia="Calibri"/>
                <w:b/>
                <w:i w:val="0"/>
                <w:color w:val="082C4C"/>
                <w:sz w:val="26"/>
              </w:rPr>
              <w:t>Clarity</w:t>
              <w:br/>
            </w:r>
            <w:r>
              <w:rPr>
                <w:rFonts w:ascii="Calibri" w:hAnsi="Calibri" w:eastAsia="Calibri"/>
                <w:b w:val="0"/>
                <w:i w:val="0"/>
                <w:color w:val="17212B"/>
                <w:sz w:val="18"/>
              </w:rPr>
              <w:t>Borrow its balance, transaction, status, and fee hierarchy.</w:t>
            </w:r>
          </w:p>
        </w:tc>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17"/>
              </w:rPr>
              <w:t>REVOLUT</w:t>
              <w:br/>
            </w:r>
            <w:r>
              <w:rPr>
                <w:rFonts w:ascii="Calibri" w:hAnsi="Calibri" w:eastAsia="Calibri"/>
                <w:b/>
                <w:i w:val="0"/>
                <w:color w:val="082C4C"/>
                <w:sz w:val="26"/>
              </w:rPr>
              <w:t>Immediacy</w:t>
              <w:br/>
            </w:r>
            <w:r>
              <w:rPr>
                <w:rFonts w:ascii="Calibri" w:hAnsi="Calibri" w:eastAsia="Calibri"/>
                <w:b w:val="0"/>
                <w:i w:val="0"/>
                <w:color w:val="17212B"/>
                <w:sz w:val="18"/>
              </w:rPr>
              <w:t>Borrow rule previews, instant feedback, and real joint boundaries.</w:t>
            </w:r>
          </w:p>
        </w:tc>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17"/>
              </w:rPr>
              <w:t>MONARCH</w:t>
              <w:br/>
            </w:r>
            <w:r>
              <w:rPr>
                <w:rFonts w:ascii="Calibri" w:hAnsi="Calibri" w:eastAsia="Calibri"/>
                <w:b/>
                <w:i w:val="0"/>
                <w:color w:val="082C4C"/>
                <w:sz w:val="26"/>
              </w:rPr>
              <w:t>Planning</w:t>
              <w:br/>
            </w:r>
            <w:r>
              <w:rPr>
                <w:rFonts w:ascii="Calibri" w:hAnsi="Calibri" w:eastAsia="Calibri"/>
                <w:b w:val="0"/>
                <w:i w:val="0"/>
                <w:color w:val="17212B"/>
                <w:sz w:val="18"/>
              </w:rPr>
              <w:t>Borrow household aggregation, review queues, rules, goals, and reports.</w:t>
            </w:r>
          </w:p>
        </w:tc>
      </w:tr>
    </w:tbl>
    <w:p>
      <w:pPr>
        <w:pStyle w:val="Heading2"/>
        <w:keepNext/>
        <w:spacing w:before="240" w:after="80" w:line="264" w:lineRule="auto"/>
      </w:pPr>
      <w:r>
        <w:rPr>
          <w:rFonts w:ascii="Calibri" w:hAnsi="Calibri" w:eastAsia="Calibri"/>
          <w:b/>
          <w:i w:val="0"/>
          <w:color w:val="2E74B5"/>
          <w:sz w:val="26"/>
        </w:rPr>
        <w:t>The non-negotiable model</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BANK REALITY</w:t>
            </w:r>
          </w:p>
        </w:tc>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WOLLIE PLAN</w:t>
            </w:r>
          </w:p>
        </w:tc>
      </w:tr>
      <w:tr>
        <w:trPr>
          <w:cantSplit/>
        </w:trPr>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Balances, transactions, transfers, pending and cleared states.</w:t>
            </w:r>
          </w:p>
        </w:tc>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Virtual assignments to spending, tax, pension, savings, and goals.</w:t>
            </w:r>
          </w:p>
        </w:tc>
      </w:tr>
      <w:tr>
        <w:trPr>
          <w:cantSplit/>
        </w:trPr>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Answers: what actually moved?</w:t>
            </w:r>
          </w:p>
        </w:tc>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Answers: what is this month's money meant to do?</w:t>
            </w:r>
          </w:p>
        </w:tc>
      </w:tr>
    </w:tbl>
    <w:p>
      <w:pPr>
        <w:spacing w:before="0" w:after="0" w:line="264" w:lineRule="auto"/>
      </w:pPr>
      <w:r>
        <w:rPr>
          <w:rFonts w:ascii="Calibri" w:hAnsi="Calibri" w:eastAsia="Calibri"/>
          <w:b w:val="0"/>
          <w:i/>
          <w:color w:val="667085"/>
          <w:sz w:val="21"/>
        </w:rPr>
        <w:t>A pension target is planned until a matching outgoing contribution is detected or confirmed. It must not appear as everyday spending.</w:t>
      </w:r>
    </w:p>
    <w:p>
      <w:r>
        <w:br w:type="page"/>
      </w:r>
    </w:p>
    <w:p>
      <w:pPr>
        <w:pStyle w:val="Heading1"/>
        <w:keepNext/>
        <w:spacing w:before="0" w:after="80" w:line="264" w:lineRule="auto"/>
      </w:pPr>
      <w:r>
        <w:rPr>
          <w:rFonts w:ascii="Calibri" w:hAnsi="Calibri" w:eastAsia="Calibri"/>
          <w:b/>
          <w:i w:val="0"/>
          <w:color w:val="2E74B5"/>
          <w:sz w:val="32"/>
        </w:rPr>
        <w:t>Category map</w:t>
      </w:r>
    </w:p>
    <w:p>
      <w:pPr>
        <w:spacing w:before="0" w:after="160" w:line="264" w:lineRule="auto"/>
      </w:pPr>
      <w:r>
        <w:rPr>
          <w:rFonts w:ascii="Calibri" w:hAnsi="Calibri" w:eastAsia="Calibri"/>
          <w:b w:val="0"/>
          <w:i w:val="0"/>
          <w:color w:val="667085"/>
          <w:sz w:val="22"/>
        </w:rPr>
        <w:t>The correct benchmark depends on the job being evaluated.</w:t>
      </w:r>
    </w:p>
    <w:tbl>
      <w:tblPr>
        <w:tblW w:type="dxa" w:w="9360"/>
        <w:jc w:val="left"/>
        <w:tblLayout w:type="fixed"/>
        <w:tblLook w:firstColumn="1" w:firstRow="1" w:lastColumn="0" w:lastRow="0" w:noHBand="0" w:noVBand="1" w:val="04A0"/>
        <w:tblInd w:w="120" w:type="dxa"/>
      </w:tblPr>
      <w:tblGrid>
        <w:gridCol w:w="1250"/>
        <w:gridCol w:w="1700"/>
        <w:gridCol w:w="1950"/>
        <w:gridCol w:w="2020"/>
        <w:gridCol w:w="2440"/>
      </w:tblGrid>
      <w:tr>
        <w:trPr>
          <w:cantSplit/>
          <w:tblHeader w:val="true"/>
        </w:trPr>
        <w:tc>
          <w:tcPr>
            <w:tcW w:type="dxa" w:w="12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PRODUCT</w:t>
            </w:r>
          </w:p>
        </w:tc>
        <w:tc>
          <w:tcPr>
            <w:tcW w:type="dxa" w:w="17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PRIMARY JOB</w:t>
            </w:r>
          </w:p>
        </w:tc>
        <w:tc>
          <w:tcPr>
            <w:tcW w:type="dxa" w:w="19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HOUSEHOLD MODEL</w:t>
            </w:r>
          </w:p>
        </w:tc>
        <w:tc>
          <w:tcPr>
            <w:tcW w:type="dxa" w:w="202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BEST AT</w:t>
            </w:r>
          </w:p>
        </w:tc>
        <w:tc>
          <w:tcPr>
            <w:tcW w:type="dxa" w:w="244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MAIN GAP</w:t>
            </w:r>
          </w:p>
        </w:tc>
      </w:tr>
      <w:tr>
        <w:trPr>
          <w:cantSplit/>
        </w:trPr>
        <w:tc>
          <w:tcPr>
            <w:tcW w:type="dxa" w:w="1250"/>
            <w:vAlign w:val="top"/>
          </w:tcPr>
          <w:p>
            <w:pPr>
              <w:spacing w:before="0" w:after="20" w:line="264" w:lineRule="auto"/>
            </w:pPr>
            <w:r>
              <w:rPr>
                <w:rFonts w:ascii="Calibri" w:hAnsi="Calibri" w:eastAsia="Calibri"/>
                <w:b w:val="0"/>
                <w:i w:val="0"/>
                <w:color w:val="17212B"/>
                <w:sz w:val="18"/>
              </w:rPr>
              <w:t>Wise</w:t>
            </w:r>
          </w:p>
        </w:tc>
        <w:tc>
          <w:tcPr>
            <w:tcW w:type="dxa" w:w="1700"/>
            <w:vAlign w:val="top"/>
          </w:tcPr>
          <w:p>
            <w:pPr>
              <w:spacing w:before="0" w:after="20" w:line="264" w:lineRule="auto"/>
            </w:pPr>
            <w:r>
              <w:rPr>
                <w:rFonts w:ascii="Calibri" w:hAnsi="Calibri" w:eastAsia="Calibri"/>
                <w:b w:val="0"/>
                <w:i w:val="0"/>
                <w:color w:val="17212B"/>
                <w:sz w:val="18"/>
              </w:rPr>
              <w:t>Hold, convert, send, spend</w:t>
            </w:r>
          </w:p>
        </w:tc>
        <w:tc>
          <w:tcPr>
            <w:tcW w:type="dxa" w:w="1950"/>
            <w:vAlign w:val="top"/>
          </w:tcPr>
          <w:p>
            <w:pPr>
              <w:spacing w:before="0" w:after="20" w:line="264" w:lineRule="auto"/>
            </w:pPr>
            <w:r>
              <w:rPr>
                <w:rFonts w:ascii="Calibri" w:hAnsi="Calibri" w:eastAsia="Calibri"/>
                <w:b w:val="0"/>
                <w:i w:val="0"/>
                <w:color w:val="17212B"/>
                <w:sz w:val="18"/>
              </w:rPr>
              <w:t>Owner-led shared spending</w:t>
            </w:r>
          </w:p>
        </w:tc>
        <w:tc>
          <w:tcPr>
            <w:tcW w:type="dxa" w:w="2020"/>
            <w:vAlign w:val="top"/>
          </w:tcPr>
          <w:p>
            <w:pPr>
              <w:spacing w:before="0" w:after="20" w:line="264" w:lineRule="auto"/>
            </w:pPr>
            <w:r>
              <w:rPr>
                <w:rFonts w:ascii="Calibri" w:hAnsi="Calibri" w:eastAsia="Calibri"/>
                <w:b w:val="0"/>
                <w:i w:val="0"/>
                <w:color w:val="17212B"/>
                <w:sz w:val="18"/>
              </w:rPr>
              <w:t>Clear ledger and international money movement</w:t>
            </w:r>
          </w:p>
        </w:tc>
        <w:tc>
          <w:tcPr>
            <w:tcW w:type="dxa" w:w="2440"/>
            <w:vAlign w:val="top"/>
          </w:tcPr>
          <w:p>
            <w:pPr>
              <w:spacing w:before="0" w:after="20" w:line="264" w:lineRule="auto"/>
            </w:pPr>
            <w:r>
              <w:rPr>
                <w:rFonts w:ascii="Calibri" w:hAnsi="Calibri" w:eastAsia="Calibri"/>
                <w:b w:val="0"/>
                <w:i w:val="0"/>
                <w:color w:val="17212B"/>
                <w:sz w:val="18"/>
              </w:rPr>
              <w:t>Not a household planning system</w:t>
            </w:r>
          </w:p>
        </w:tc>
      </w:tr>
      <w:tr>
        <w:trPr>
          <w:cantSplit/>
        </w:trPr>
        <w:tc>
          <w:tcPr>
            <w:tcW w:type="dxa" w:w="1250"/>
            <w:vAlign w:val="top"/>
          </w:tcPr>
          <w:p>
            <w:pPr>
              <w:spacing w:before="0" w:after="20" w:line="264" w:lineRule="auto"/>
            </w:pPr>
            <w:r>
              <w:rPr>
                <w:rFonts w:ascii="Calibri" w:hAnsi="Calibri" w:eastAsia="Calibri"/>
                <w:b w:val="0"/>
                <w:i w:val="0"/>
                <w:color w:val="17212B"/>
                <w:sz w:val="18"/>
              </w:rPr>
              <w:t>Revolut</w:t>
            </w:r>
          </w:p>
        </w:tc>
        <w:tc>
          <w:tcPr>
            <w:tcW w:type="dxa" w:w="1700"/>
            <w:vAlign w:val="top"/>
          </w:tcPr>
          <w:p>
            <w:pPr>
              <w:spacing w:before="0" w:after="20" w:line="264" w:lineRule="auto"/>
            </w:pPr>
            <w:r>
              <w:rPr>
                <w:rFonts w:ascii="Calibri" w:hAnsi="Calibri" w:eastAsia="Calibri"/>
                <w:b w:val="0"/>
                <w:i w:val="0"/>
                <w:color w:val="17212B"/>
                <w:sz w:val="18"/>
              </w:rPr>
              <w:t>Daily digital banking</w:t>
            </w:r>
          </w:p>
        </w:tc>
        <w:tc>
          <w:tcPr>
            <w:tcW w:type="dxa" w:w="1950"/>
            <w:vAlign w:val="top"/>
          </w:tcPr>
          <w:p>
            <w:pPr>
              <w:spacing w:before="0" w:after="20" w:line="264" w:lineRule="auto"/>
            </w:pPr>
            <w:r>
              <w:rPr>
                <w:rFonts w:ascii="Calibri" w:hAnsi="Calibri" w:eastAsia="Calibri"/>
                <w:b w:val="0"/>
                <w:i w:val="0"/>
                <w:color w:val="17212B"/>
                <w:sz w:val="18"/>
              </w:rPr>
              <w:t>Two-person joint account plus personal accounts</w:t>
            </w:r>
          </w:p>
        </w:tc>
        <w:tc>
          <w:tcPr>
            <w:tcW w:type="dxa" w:w="2020"/>
            <w:vAlign w:val="top"/>
          </w:tcPr>
          <w:p>
            <w:pPr>
              <w:spacing w:before="0" w:after="20" w:line="264" w:lineRule="auto"/>
            </w:pPr>
            <w:r>
              <w:rPr>
                <w:rFonts w:ascii="Calibri" w:hAnsi="Calibri" w:eastAsia="Calibri"/>
                <w:b w:val="0"/>
                <w:i w:val="0"/>
                <w:color w:val="17212B"/>
                <w:sz w:val="18"/>
              </w:rPr>
              <w:t>Actual-money automation and control</w:t>
            </w:r>
          </w:p>
        </w:tc>
        <w:tc>
          <w:tcPr>
            <w:tcW w:type="dxa" w:w="2440"/>
            <w:vAlign w:val="top"/>
          </w:tcPr>
          <w:p>
            <w:pPr>
              <w:spacing w:before="0" w:after="20" w:line="264" w:lineRule="auto"/>
            </w:pPr>
            <w:r>
              <w:rPr>
                <w:rFonts w:ascii="Calibri" w:hAnsi="Calibri" w:eastAsia="Calibri"/>
                <w:b w:val="0"/>
                <w:i w:val="0"/>
                <w:color w:val="17212B"/>
                <w:sz w:val="18"/>
              </w:rPr>
              <w:t>Feature and analytics fragmentation</w:t>
            </w:r>
          </w:p>
        </w:tc>
      </w:tr>
      <w:tr>
        <w:trPr>
          <w:cantSplit/>
        </w:trPr>
        <w:tc>
          <w:tcPr>
            <w:tcW w:type="dxa" w:w="1250"/>
            <w:vAlign w:val="top"/>
          </w:tcPr>
          <w:p>
            <w:pPr>
              <w:spacing w:before="0" w:after="20" w:line="264" w:lineRule="auto"/>
            </w:pPr>
            <w:r>
              <w:rPr>
                <w:rFonts w:ascii="Calibri" w:hAnsi="Calibri" w:eastAsia="Calibri"/>
                <w:b w:val="0"/>
                <w:i w:val="0"/>
                <w:color w:val="17212B"/>
                <w:sz w:val="18"/>
              </w:rPr>
              <w:t>Monarch</w:t>
            </w:r>
          </w:p>
        </w:tc>
        <w:tc>
          <w:tcPr>
            <w:tcW w:type="dxa" w:w="1700"/>
            <w:vAlign w:val="top"/>
          </w:tcPr>
          <w:p>
            <w:pPr>
              <w:spacing w:before="0" w:after="20" w:line="264" w:lineRule="auto"/>
            </w:pPr>
            <w:r>
              <w:rPr>
                <w:rFonts w:ascii="Calibri" w:hAnsi="Calibri" w:eastAsia="Calibri"/>
                <w:b w:val="0"/>
                <w:i w:val="0"/>
                <w:color w:val="17212B"/>
                <w:sz w:val="18"/>
              </w:rPr>
              <w:t>Cross-bank planning</w:t>
            </w:r>
          </w:p>
        </w:tc>
        <w:tc>
          <w:tcPr>
            <w:tcW w:type="dxa" w:w="1950"/>
            <w:vAlign w:val="top"/>
          </w:tcPr>
          <w:p>
            <w:pPr>
              <w:spacing w:before="0" w:after="20" w:line="264" w:lineRule="auto"/>
            </w:pPr>
            <w:r>
              <w:rPr>
                <w:rFonts w:ascii="Calibri" w:hAnsi="Calibri" w:eastAsia="Calibri"/>
                <w:b w:val="0"/>
                <w:i w:val="0"/>
                <w:color w:val="17212B"/>
                <w:sz w:val="18"/>
              </w:rPr>
              <w:t>Shared household subscription</w:t>
            </w:r>
          </w:p>
        </w:tc>
        <w:tc>
          <w:tcPr>
            <w:tcW w:type="dxa" w:w="2020"/>
            <w:vAlign w:val="top"/>
          </w:tcPr>
          <w:p>
            <w:pPr>
              <w:spacing w:before="0" w:after="20" w:line="264" w:lineRule="auto"/>
            </w:pPr>
            <w:r>
              <w:rPr>
                <w:rFonts w:ascii="Calibri" w:hAnsi="Calibri" w:eastAsia="Calibri"/>
                <w:b w:val="0"/>
                <w:i w:val="0"/>
                <w:color w:val="17212B"/>
                <w:sz w:val="18"/>
              </w:rPr>
              <w:t>Review, budgets, goals, reports</w:t>
            </w:r>
          </w:p>
        </w:tc>
        <w:tc>
          <w:tcPr>
            <w:tcW w:type="dxa" w:w="2440"/>
            <w:vAlign w:val="top"/>
          </w:tcPr>
          <w:p>
            <w:pPr>
              <w:spacing w:before="0" w:after="20" w:line="264" w:lineRule="auto"/>
            </w:pPr>
            <w:r>
              <w:rPr>
                <w:rFonts w:ascii="Calibri" w:hAnsi="Calibri" w:eastAsia="Calibri"/>
                <w:b w:val="0"/>
                <w:i w:val="0"/>
                <w:color w:val="17212B"/>
                <w:sz w:val="18"/>
              </w:rPr>
              <w:t>Sync trust and no real privacy</w:t>
            </w:r>
          </w:p>
        </w:tc>
      </w:tr>
      <w:tr>
        <w:trPr>
          <w:cantSplit/>
        </w:trPr>
        <w:tc>
          <w:tcPr>
            <w:tcW w:type="dxa" w:w="1250"/>
            <w:vAlign w:val="top"/>
          </w:tcPr>
          <w:p>
            <w:pPr>
              <w:spacing w:before="0" w:after="20" w:line="264" w:lineRule="auto"/>
            </w:pPr>
            <w:r>
              <w:rPr>
                <w:rFonts w:ascii="Calibri" w:hAnsi="Calibri" w:eastAsia="Calibri"/>
                <w:b w:val="0"/>
                <w:i w:val="0"/>
                <w:color w:val="17212B"/>
                <w:sz w:val="18"/>
              </w:rPr>
              <w:t>Wollie</w:t>
            </w:r>
          </w:p>
        </w:tc>
        <w:tc>
          <w:tcPr>
            <w:tcW w:type="dxa" w:w="1700"/>
            <w:vAlign w:val="top"/>
          </w:tcPr>
          <w:p>
            <w:pPr>
              <w:spacing w:before="0" w:after="20" w:line="264" w:lineRule="auto"/>
            </w:pPr>
            <w:r>
              <w:rPr>
                <w:rFonts w:ascii="Calibri" w:hAnsi="Calibri" w:eastAsia="Calibri"/>
                <w:b w:val="0"/>
                <w:i w:val="0"/>
                <w:color w:val="17212B"/>
                <w:sz w:val="18"/>
              </w:rPr>
              <w:t>Couples money coordination</w:t>
            </w:r>
          </w:p>
        </w:tc>
        <w:tc>
          <w:tcPr>
            <w:tcW w:type="dxa" w:w="1950"/>
            <w:vAlign w:val="top"/>
          </w:tcPr>
          <w:p>
            <w:pPr>
              <w:spacing w:before="0" w:after="20" w:line="264" w:lineRule="auto"/>
            </w:pPr>
            <w:r>
              <w:rPr>
                <w:rFonts w:ascii="Calibri" w:hAnsi="Calibri" w:eastAsia="Calibri"/>
                <w:b w:val="0"/>
                <w:i w:val="0"/>
                <w:color w:val="17212B"/>
                <w:sz w:val="18"/>
              </w:rPr>
              <w:t>Joint, separate, or mixed banks</w:t>
            </w:r>
          </w:p>
        </w:tc>
        <w:tc>
          <w:tcPr>
            <w:tcW w:type="dxa" w:w="2020"/>
            <w:vAlign w:val="top"/>
          </w:tcPr>
          <w:p>
            <w:pPr>
              <w:spacing w:before="0" w:after="20" w:line="264" w:lineRule="auto"/>
            </w:pPr>
            <w:r>
              <w:rPr>
                <w:rFonts w:ascii="Calibri" w:hAnsi="Calibri" w:eastAsia="Calibri"/>
                <w:b w:val="0"/>
                <w:i w:val="0"/>
                <w:color w:val="17212B"/>
                <w:sz w:val="18"/>
              </w:rPr>
              <w:t>Fair contributions plus selective sharing</w:t>
            </w:r>
          </w:p>
        </w:tc>
        <w:tc>
          <w:tcPr>
            <w:tcW w:type="dxa" w:w="2440"/>
            <w:vAlign w:val="top"/>
          </w:tcPr>
          <w:p>
            <w:pPr>
              <w:spacing w:before="0" w:after="20" w:line="264" w:lineRule="auto"/>
            </w:pPr>
            <w:r>
              <w:rPr>
                <w:rFonts w:ascii="Calibri" w:hAnsi="Calibri" w:eastAsia="Calibri"/>
                <w:b w:val="0"/>
                <w:i w:val="0"/>
                <w:color w:val="17212B"/>
                <w:sz w:val="18"/>
              </w:rPr>
              <w:t>Must prove data and plan accuracy</w:t>
            </w:r>
          </w:p>
        </w:tc>
      </w:tr>
    </w:tbl>
    <w:p>
      <w:pPr>
        <w:pStyle w:val="Heading2"/>
        <w:keepNext/>
        <w:spacing w:before="240" w:after="80" w:line="264" w:lineRule="auto"/>
      </w:pPr>
      <w:r>
        <w:rPr>
          <w:rFonts w:ascii="Calibri" w:hAnsi="Calibri" w:eastAsia="Calibri"/>
          <w:b/>
          <w:i w:val="0"/>
          <w:color w:val="2E74B5"/>
          <w:sz w:val="26"/>
        </w:rPr>
        <w:t>What each product optimizes</w:t>
      </w:r>
    </w:p>
    <w:p>
      <w:pPr>
        <w:pStyle w:val="ListBullet"/>
        <w:spacing w:before="0" w:after="40" w:line="264" w:lineRule="auto"/>
      </w:pPr>
      <w:r>
        <w:rPr>
          <w:rFonts w:ascii="Calibri" w:hAnsi="Calibri" w:eastAsia="Calibri"/>
          <w:b w:val="0"/>
          <w:i w:val="0"/>
          <w:color w:val="17212B"/>
          <w:sz w:val="21"/>
        </w:rPr>
        <w:t>Wise optimizes a transfer or balance event. Its success metric is confidence that the money arrived at a fair cost.</w:t>
      </w:r>
    </w:p>
    <w:p>
      <w:pPr>
        <w:pStyle w:val="ListBullet"/>
        <w:spacing w:before="0" w:after="40" w:line="264" w:lineRule="auto"/>
      </w:pPr>
      <w:r>
        <w:rPr>
          <w:rFonts w:ascii="Calibri" w:hAnsi="Calibri" w:eastAsia="Calibri"/>
          <w:b w:val="0"/>
          <w:i w:val="0"/>
          <w:color w:val="17212B"/>
          <w:sz w:val="21"/>
        </w:rPr>
        <w:t>Revolut optimizes action and engagement. Its success metric is how much of a person's financial life happens inside Revolut.</w:t>
      </w:r>
    </w:p>
    <w:p>
      <w:pPr>
        <w:pStyle w:val="ListBullet"/>
        <w:spacing w:before="0" w:after="40" w:line="264" w:lineRule="auto"/>
      </w:pPr>
      <w:r>
        <w:rPr>
          <w:rFonts w:ascii="Calibri" w:hAnsi="Calibri" w:eastAsia="Calibri"/>
          <w:b w:val="0"/>
          <w:i w:val="0"/>
          <w:color w:val="17212B"/>
          <w:sz w:val="21"/>
        </w:rPr>
        <w:t>Monarch optimizes understanding and planning. Its success metric is whether connected data becomes a coherent monthly and long-term picture.</w:t>
      </w:r>
    </w:p>
    <w:p>
      <w:pPr>
        <w:pStyle w:val="ListBullet"/>
        <w:spacing w:before="0" w:after="40" w:line="264" w:lineRule="auto"/>
      </w:pPr>
      <w:r>
        <w:rPr>
          <w:rFonts w:ascii="Calibri" w:hAnsi="Calibri" w:eastAsia="Calibri"/>
          <w:b w:val="0"/>
          <w:i w:val="0"/>
          <w:color w:val="17212B"/>
          <w:sz w:val="21"/>
        </w:rPr>
        <w:t>Wollie should optimize household agreement. Its success metric is whether both partners understand what is available, what is reserved, and what needs attention.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Design consequence  </w:t>
            </w:r>
            <w:r>
              <w:rPr>
                <w:rFonts w:ascii="Calibri" w:hAnsi="Calibri" w:eastAsia="Calibri"/>
                <w:b w:val="0"/>
                <w:i w:val="0"/>
                <w:color w:val="17212B"/>
                <w:sz w:val="21"/>
              </w:rPr>
              <w:t>Do not benchmark Wollie's Overview against Revolut's entire home screen. Benchmark Accounts against Wise, automation against Revolut, and planning/review against Monarch.</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Wise: clarity closest to the ledger</w:t>
      </w:r>
    </w:p>
    <w:p>
      <w:pPr>
        <w:spacing w:before="0" w:after="160" w:line="264" w:lineRule="auto"/>
      </w:pPr>
      <w:r>
        <w:rPr>
          <w:rFonts w:ascii="Calibri" w:hAnsi="Calibri" w:eastAsia="Calibri"/>
          <w:b w:val="0"/>
          <w:i w:val="0"/>
          <w:color w:val="082C4C"/>
          <w:sz w:val="24"/>
        </w:rPr>
        <w:t>The strongest reference for simple balances, transaction status, and confidence around money movement.</w:t>
      </w:r>
    </w:p>
    <w:p>
      <w:pPr>
        <w:keepNext/>
        <w:spacing w:after="40"/>
        <w:jc w:val="center"/>
      </w:pPr>
      <w:r>
        <w:drawing>
          <wp:inline xmlns:a="http://schemas.openxmlformats.org/drawingml/2006/main" xmlns:pic="http://schemas.openxmlformats.org/drawingml/2006/picture">
            <wp:extent cx="5440680" cy="3847892"/>
            <wp:docPr id="1" name="Picture 1"/>
            <wp:cNvGraphicFramePr>
              <a:graphicFrameLocks noChangeAspect="1"/>
            </wp:cNvGraphicFramePr>
            <a:graphic>
              <a:graphicData uri="http://schemas.openxmlformats.org/drawingml/2006/picture">
                <pic:pic>
                  <pic:nvPicPr>
                    <pic:cNvPr id="0" name="wise-annual-report-page-024.png"/>
                    <pic:cNvPicPr/>
                  </pic:nvPicPr>
                  <pic:blipFill>
                    <a:blip r:embed="rId11"/>
                    <a:stretch>
                      <a:fillRect/>
                    </a:stretch>
                  </pic:blipFill>
                  <pic:spPr>
                    <a:xfrm>
                      <a:off x="0" y="0"/>
                      <a:ext cx="5440680" cy="3847892"/>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Wise's FY2025 annual report presents an Account screen built around balances and recent transactions.</w:t>
      </w:r>
    </w:p>
    <w:p>
      <w:pPr>
        <w:pStyle w:val="Heading2"/>
        <w:keepNext/>
        <w:spacing w:before="240" w:after="80" w:line="264" w:lineRule="auto"/>
      </w:pPr>
      <w:r>
        <w:rPr>
          <w:rFonts w:ascii="Calibri" w:hAnsi="Calibri" w:eastAsia="Calibri"/>
          <w:b/>
          <w:i w:val="0"/>
          <w:color w:val="2E74B5"/>
          <w:sz w:val="26"/>
        </w:rPr>
        <w:t>How the product thinks</w:t>
      </w:r>
    </w:p>
    <w:p>
      <w:pPr>
        <w:pStyle w:val="ListBullet"/>
        <w:spacing w:before="0" w:after="40" w:line="264" w:lineRule="auto"/>
      </w:pPr>
      <w:r>
        <w:rPr>
          <w:rFonts w:ascii="Calibri" w:hAnsi="Calibri" w:eastAsia="Calibri"/>
          <w:b w:val="0"/>
          <w:i w:val="0"/>
          <w:color w:val="17212B"/>
          <w:sz w:val="21"/>
        </w:rPr>
        <w:t>The home model begins with accounts and currencies, then recent activity and actions.</w:t>
      </w:r>
    </w:p>
    <w:p>
      <w:pPr>
        <w:pStyle w:val="ListBullet"/>
        <w:spacing w:before="0" w:after="40" w:line="264" w:lineRule="auto"/>
      </w:pPr>
      <w:r>
        <w:rPr>
          <w:rFonts w:ascii="Calibri" w:hAnsi="Calibri" w:eastAsia="Calibri"/>
          <w:b w:val="0"/>
          <w:i w:val="0"/>
          <w:color w:val="17212B"/>
          <w:sz w:val="21"/>
        </w:rPr>
        <w:t>Jars separate actual money from the spendable balance.</w:t>
      </w:r>
    </w:p>
    <w:p>
      <w:pPr>
        <w:pStyle w:val="ListBullet"/>
        <w:spacing w:before="0" w:after="40" w:line="264" w:lineRule="auto"/>
      </w:pPr>
      <w:r>
        <w:rPr>
          <w:rFonts w:ascii="Calibri" w:hAnsi="Calibri" w:eastAsia="Calibri"/>
          <w:b w:val="0"/>
          <w:i w:val="0"/>
          <w:color w:val="17212B"/>
          <w:sz w:val="21"/>
        </w:rPr>
        <w:t>Spend with others delegates spending from an owner-controlled pool.</w:t>
      </w:r>
    </w:p>
    <w:p>
      <w:pPr>
        <w:pStyle w:val="ListBullet"/>
        <w:spacing w:before="0" w:after="40" w:line="264" w:lineRule="auto"/>
      </w:pPr>
      <w:r>
        <w:rPr>
          <w:rFonts w:ascii="Calibri" w:hAnsi="Calibri" w:eastAsia="Calibri"/>
          <w:b w:val="0"/>
          <w:i w:val="0"/>
          <w:color w:val="17212B"/>
          <w:sz w:val="21"/>
        </w:rPr>
        <w:t>Public materials emphasize operational money management rather than a household budget.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STRENGTHS</w:t>
            </w:r>
          </w:p>
        </w:tc>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WEAKNESSES</w:t>
            </w:r>
          </w:p>
        </w:tc>
      </w:tr>
      <w:tr>
        <w:trPr>
          <w:cantSplit/>
        </w:trPr>
        <w:tc>
          <w:tcPr>
            <w:tcW w:type="dxa" w:w="4680"/>
            <w:vAlign w:val="top"/>
          </w:tcPr>
          <w:p>
            <w:pPr>
              <w:spacing w:before="0" w:after="20" w:line="264" w:lineRule="auto"/>
            </w:pPr>
            <w:r>
              <w:rPr>
                <w:rFonts w:ascii="Calibri" w:hAnsi="Calibri" w:eastAsia="Calibri"/>
                <w:b w:val="0"/>
                <w:i w:val="0"/>
                <w:color w:val="17212B"/>
                <w:sz w:val="18"/>
              </w:rPr>
              <w:t>Clear hierarchy</w:t>
            </w:r>
          </w:p>
        </w:tc>
        <w:tc>
          <w:tcPr>
            <w:tcW w:type="dxa" w:w="4680"/>
            <w:vAlign w:val="top"/>
          </w:tcPr>
          <w:p>
            <w:pPr>
              <w:spacing w:before="0" w:after="20" w:line="264" w:lineRule="auto"/>
            </w:pPr>
            <w:r>
              <w:rPr>
                <w:rFonts w:ascii="Calibri" w:hAnsi="Calibri" w:eastAsia="Calibri"/>
                <w:b w:val="0"/>
                <w:i w:val="0"/>
                <w:color w:val="17212B"/>
                <w:sz w:val="18"/>
              </w:rPr>
              <w:t>Not a true joint planning model</w:t>
            </w:r>
          </w:p>
        </w:tc>
      </w:tr>
      <w:tr>
        <w:trPr>
          <w:cantSplit/>
        </w:trPr>
        <w:tc>
          <w:tcPr>
            <w:tcW w:type="dxa" w:w="4680"/>
            <w:vAlign w:val="top"/>
          </w:tcPr>
          <w:p>
            <w:pPr>
              <w:spacing w:before="0" w:after="20" w:line="264" w:lineRule="auto"/>
            </w:pPr>
            <w:r>
              <w:rPr>
                <w:rFonts w:ascii="Calibri" w:hAnsi="Calibri" w:eastAsia="Calibri"/>
                <w:b w:val="0"/>
                <w:i w:val="0"/>
                <w:color w:val="17212B"/>
                <w:sz w:val="18"/>
              </w:rPr>
              <w:t>Strong status and fee trust cues</w:t>
            </w:r>
          </w:p>
        </w:tc>
        <w:tc>
          <w:tcPr>
            <w:tcW w:type="dxa" w:w="4680"/>
            <w:vAlign w:val="top"/>
          </w:tcPr>
          <w:p>
            <w:pPr>
              <w:spacing w:before="0" w:after="20" w:line="264" w:lineRule="auto"/>
            </w:pPr>
            <w:r>
              <w:rPr>
                <w:rFonts w:ascii="Calibri" w:hAnsi="Calibri" w:eastAsia="Calibri"/>
                <w:b w:val="0"/>
                <w:i w:val="0"/>
                <w:color w:val="17212B"/>
                <w:sz w:val="18"/>
              </w:rPr>
              <w:t>Owner/member asymmetry</w:t>
            </w:r>
          </w:p>
        </w:tc>
      </w:tr>
      <w:tr>
        <w:trPr>
          <w:cantSplit/>
        </w:trPr>
        <w:tc>
          <w:tcPr>
            <w:tcW w:type="dxa" w:w="4680"/>
            <w:vAlign w:val="top"/>
          </w:tcPr>
          <w:p>
            <w:pPr>
              <w:spacing w:before="0" w:after="20" w:line="264" w:lineRule="auto"/>
            </w:pPr>
            <w:r>
              <w:rPr>
                <w:rFonts w:ascii="Calibri" w:hAnsi="Calibri" w:eastAsia="Calibri"/>
                <w:b w:val="0"/>
                <w:i w:val="0"/>
                <w:color w:val="17212B"/>
                <w:sz w:val="18"/>
              </w:rPr>
              <w:t>Concrete real-money Jars</w:t>
            </w:r>
          </w:p>
        </w:tc>
        <w:tc>
          <w:tcPr>
            <w:tcW w:type="dxa" w:w="4680"/>
            <w:vAlign w:val="top"/>
          </w:tcPr>
          <w:p>
            <w:pPr>
              <w:spacing w:before="0" w:after="20" w:line="264" w:lineRule="auto"/>
            </w:pPr>
            <w:r>
              <w:rPr>
                <w:rFonts w:ascii="Calibri" w:hAnsi="Calibri" w:eastAsia="Calibri"/>
                <w:b w:val="0"/>
                <w:i w:val="0"/>
                <w:color w:val="17212B"/>
                <w:sz w:val="18"/>
              </w:rPr>
              <w:t>Planning tied to money inside Wise</w:t>
            </w:r>
          </w:p>
        </w:tc>
      </w:tr>
      <w:tr>
        <w:trPr>
          <w:cantSplit/>
        </w:trPr>
        <w:tc>
          <w:tcPr>
            <w:tcW w:type="dxa" w:w="4680"/>
            <w:vAlign w:val="top"/>
          </w:tcPr>
          <w:p>
            <w:pPr>
              <w:spacing w:before="0" w:after="20" w:line="264" w:lineRule="auto"/>
            </w:pPr>
            <w:r>
              <w:rPr>
                <w:rFonts w:ascii="Calibri" w:hAnsi="Calibri" w:eastAsia="Calibri"/>
                <w:b w:val="0"/>
                <w:i w:val="0"/>
                <w:color w:val="17212B"/>
                <w:sz w:val="18"/>
              </w:rPr>
              <w:t>Low transaction-list noise</w:t>
            </w:r>
          </w:p>
        </w:tc>
        <w:tc>
          <w:tcPr>
            <w:tcW w:type="dxa" w:w="4680"/>
            <w:vAlign w:val="top"/>
          </w:tcPr>
          <w:p>
            <w:pPr>
              <w:spacing w:before="0" w:after="20" w:line="264" w:lineRule="auto"/>
            </w:pPr>
            <w:r>
              <w:rPr>
                <w:rFonts w:ascii="Calibri" w:hAnsi="Calibri" w:eastAsia="Calibri"/>
                <w:b w:val="0"/>
                <w:i w:val="0"/>
                <w:color w:val="17212B"/>
                <w:sz w:val="18"/>
              </w:rPr>
              <w:t>No full cross-bank household view</w:t>
            </w:r>
          </w:p>
        </w:tc>
      </w:tr>
    </w:tbl>
    <w:p>
      <w:r>
        <w:br w:type="page"/>
      </w:r>
    </w:p>
    <w:p>
      <w:pPr>
        <w:pStyle w:val="Heading1"/>
        <w:keepNext/>
        <w:spacing w:before="0" w:after="80" w:line="264" w:lineRule="auto"/>
      </w:pPr>
      <w:r>
        <w:rPr>
          <w:rFonts w:ascii="Calibri" w:hAnsi="Calibri" w:eastAsia="Calibri"/>
          <w:b/>
          <w:i w:val="0"/>
          <w:color w:val="2E74B5"/>
          <w:sz w:val="32"/>
        </w:rPr>
        <w:t>Wise: shared money and planning logic</w:t>
      </w:r>
    </w:p>
    <w:p>
      <w:pPr>
        <w:keepNext/>
        <w:spacing w:after="40"/>
        <w:jc w:val="center"/>
      </w:pPr>
      <w:r>
        <w:drawing>
          <wp:inline xmlns:a="http://schemas.openxmlformats.org/drawingml/2006/main" xmlns:pic="http://schemas.openxmlformats.org/drawingml/2006/picture">
            <wp:extent cx="2331720" cy="3195035"/>
            <wp:docPr id="2" name="Picture 2"/>
            <wp:cNvGraphicFramePr>
              <a:graphicFrameLocks noChangeAspect="1"/>
            </wp:cNvGraphicFramePr>
            <a:graphic>
              <a:graphicData uri="http://schemas.openxmlformats.org/drawingml/2006/picture">
                <pic:pic>
                  <pic:nvPicPr>
                    <pic:cNvPr id="0" name="wise-spend-with-others-ui.png"/>
                    <pic:cNvPicPr/>
                  </pic:nvPicPr>
                  <pic:blipFill>
                    <a:blip r:embed="rId12"/>
                    <a:stretch>
                      <a:fillRect/>
                    </a:stretch>
                  </pic:blipFill>
                  <pic:spPr>
                    <a:xfrm>
                      <a:off x="0" y="0"/>
                      <a:ext cx="2331720" cy="3195035"/>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Wise's public Spend with others experience emphasizes a shared spending event, not a household budget.</w:t>
      </w:r>
    </w:p>
    <w:p>
      <w:pPr>
        <w:pStyle w:val="Heading2"/>
        <w:keepNext/>
        <w:spacing w:before="240" w:after="80" w:line="264" w:lineRule="auto"/>
      </w:pPr>
      <w:r>
        <w:rPr>
          <w:rFonts w:ascii="Calibri" w:hAnsi="Calibri" w:eastAsia="Calibri"/>
          <w:b/>
          <w:i w:val="0"/>
          <w:color w:val="2E74B5"/>
          <w:sz w:val="26"/>
        </w:rPr>
        <w:t>Spend with others is controlled access</w:t>
      </w:r>
    </w:p>
    <w:p>
      <w:pPr>
        <w:spacing w:before="0" w:after="120" w:line="264" w:lineRule="auto"/>
      </w:pPr>
      <w:r>
        <w:rPr>
          <w:rFonts w:ascii="Calibri" w:hAnsi="Calibri" w:eastAsia="Calibri"/>
          <w:b w:val="0"/>
          <w:i w:val="0"/>
          <w:color w:val="17212B"/>
          <w:sz w:val="22"/>
        </w:rPr>
        <w:t>One owner legally owns and controls all money, including member contributions. Members may add money, see transactions, and spend, but cannot send, withdraw, convert, or manage the group. The current EU group limit is two people. This is useful for controlled shared expenses but is not an equal joint account.</w:t>
      </w:r>
    </w:p>
    <w:p>
      <w:pPr>
        <w:pStyle w:val="Heading2"/>
        <w:keepNext/>
        <w:spacing w:before="240" w:after="80" w:line="264" w:lineRule="auto"/>
      </w:pPr>
      <w:r>
        <w:rPr>
          <w:rFonts w:ascii="Calibri" w:hAnsi="Calibri" w:eastAsia="Calibri"/>
          <w:b/>
          <w:i w:val="0"/>
          <w:color w:val="2E74B5"/>
          <w:sz w:val="26"/>
        </w:rPr>
        <w:t>Jars are real-money containers</w:t>
      </w:r>
    </w:p>
    <w:p>
      <w:pPr>
        <w:spacing w:before="0" w:after="120" w:line="264" w:lineRule="auto"/>
      </w:pPr>
      <w:r>
        <w:rPr>
          <w:rFonts w:ascii="Calibri" w:hAnsi="Calibri" w:eastAsia="Calibri"/>
          <w:b w:val="0"/>
          <w:i w:val="0"/>
          <w:color w:val="17212B"/>
          <w:sz w:val="22"/>
        </w:rPr>
        <w:t>Money in a Jar is separated from the main spendable balance and cannot be used by the debit card or direct debit. This makes the number concrete and prevents accidental spending. It also requires the money to live inside Wise.</w:t>
      </w:r>
    </w:p>
    <w:p>
      <w:pPr>
        <w:pStyle w:val="Heading2"/>
        <w:keepNext/>
        <w:spacing w:before="240" w:after="80" w:line="264" w:lineRule="auto"/>
      </w:pPr>
      <w:r>
        <w:rPr>
          <w:rFonts w:ascii="Calibri" w:hAnsi="Calibri" w:eastAsia="Calibri"/>
          <w:b/>
          <w:i w:val="0"/>
          <w:color w:val="2E74B5"/>
          <w:sz w:val="26"/>
        </w:rPr>
        <w:t>Implication for Wollie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Borrow  </w:t>
            </w:r>
            <w:r>
              <w:rPr>
                <w:rFonts w:ascii="Calibri" w:hAnsi="Calibri" w:eastAsia="Calibri"/>
                <w:b w:val="0"/>
                <w:i w:val="0"/>
                <w:color w:val="17212B"/>
                <w:sz w:val="21"/>
              </w:rPr>
              <w:t>A simple account screen, explicit statuses, and an unmistakable difference between available money and set-aside money.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Avoid  </w:t>
            </w:r>
            <w:r>
              <w:rPr>
                <w:rFonts w:ascii="Calibri" w:hAnsi="Calibri" w:eastAsia="Calibri"/>
                <w:b w:val="0"/>
                <w:i w:val="0"/>
                <w:color w:val="17212B"/>
                <w:sz w:val="21"/>
              </w:rPr>
              <w:t>Presenting an owner/member permission model as equal household collaboration, or requiring couples to move shared money into Wollie.</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Revolut: immediacy and breadth</w:t>
      </w:r>
    </w:p>
    <w:p>
      <w:pPr>
        <w:spacing w:before="0" w:after="160" w:line="264" w:lineRule="auto"/>
      </w:pPr>
      <w:r>
        <w:rPr>
          <w:rFonts w:ascii="Calibri" w:hAnsi="Calibri" w:eastAsia="Calibri"/>
          <w:b w:val="0"/>
          <w:i w:val="0"/>
          <w:color w:val="082C4C"/>
          <w:sz w:val="24"/>
        </w:rPr>
        <w:t>The strongest reference for actual-money automation, real joint accounts, and instant financial controls.</w:t>
      </w:r>
    </w:p>
    <w:p>
      <w:pPr>
        <w:keepNext/>
        <w:spacing w:after="40"/>
        <w:jc w:val="center"/>
      </w:pPr>
      <w:r>
        <w:drawing>
          <wp:inline xmlns:a="http://schemas.openxmlformats.org/drawingml/2006/main" xmlns:pic="http://schemas.openxmlformats.org/drawingml/2006/picture">
            <wp:extent cx="5440680" cy="3844778"/>
            <wp:docPr id="3" name="Picture 3"/>
            <wp:cNvGraphicFramePr>
              <a:graphicFrameLocks noChangeAspect="1"/>
            </wp:cNvGraphicFramePr>
            <a:graphic>
              <a:graphicData uri="http://schemas.openxmlformats.org/drawingml/2006/picture">
                <pic:pic>
                  <pic:nvPicPr>
                    <pic:cNvPr id="0" name="revolut-annual-report-page-024.png"/>
                    <pic:cNvPicPr/>
                  </pic:nvPicPr>
                  <pic:blipFill>
                    <a:blip r:embed="rId13"/>
                    <a:stretch>
                      <a:fillRect/>
                    </a:stretch>
                  </pic:blipFill>
                  <pic:spPr>
                    <a:xfrm>
                      <a:off x="0" y="0"/>
                      <a:ext cx="5440680" cy="3844778"/>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Revolut's FY2025 annual report reflects a broad, high-energy super-app rather than a single planning workflow.</w:t>
      </w:r>
    </w:p>
    <w:p>
      <w:pPr>
        <w:pStyle w:val="Heading2"/>
        <w:keepNext/>
        <w:spacing w:before="240" w:after="80" w:line="264" w:lineRule="auto"/>
      </w:pPr>
      <w:r>
        <w:rPr>
          <w:rFonts w:ascii="Calibri" w:hAnsi="Calibri" w:eastAsia="Calibri"/>
          <w:b/>
          <w:i w:val="0"/>
          <w:color w:val="2E74B5"/>
          <w:sz w:val="26"/>
        </w:rPr>
        <w:t>How the product thinks</w:t>
      </w:r>
    </w:p>
    <w:p>
      <w:pPr>
        <w:pStyle w:val="ListBullet"/>
        <w:spacing w:before="0" w:after="40" w:line="264" w:lineRule="auto"/>
      </w:pPr>
      <w:r>
        <w:rPr>
          <w:rFonts w:ascii="Calibri" w:hAnsi="Calibri" w:eastAsia="Calibri"/>
          <w:b w:val="0"/>
          <w:i w:val="0"/>
          <w:color w:val="17212B"/>
          <w:sz w:val="21"/>
        </w:rPr>
        <w:t>Personal and joint accounts are separate real ledger containers.</w:t>
      </w:r>
    </w:p>
    <w:p>
      <w:pPr>
        <w:pStyle w:val="ListBullet"/>
        <w:spacing w:before="0" w:after="40" w:line="264" w:lineRule="auto"/>
      </w:pPr>
      <w:r>
        <w:rPr>
          <w:rFonts w:ascii="Calibri" w:hAnsi="Calibri" w:eastAsia="Calibri"/>
          <w:b w:val="0"/>
          <w:i w:val="0"/>
          <w:color w:val="17212B"/>
          <w:sz w:val="21"/>
        </w:rPr>
        <w:t>Income Sorter can distribute actual incoming money to several destinations.</w:t>
      </w:r>
    </w:p>
    <w:p>
      <w:pPr>
        <w:pStyle w:val="ListBullet"/>
        <w:spacing w:before="0" w:after="40" w:line="264" w:lineRule="auto"/>
      </w:pPr>
      <w:r>
        <w:rPr>
          <w:rFonts w:ascii="Calibri" w:hAnsi="Calibri" w:eastAsia="Calibri"/>
          <w:b w:val="0"/>
          <w:i w:val="0"/>
          <w:color w:val="17212B"/>
          <w:sz w:val="21"/>
        </w:rPr>
        <w:t>Pockets, Savings, Investments, cards, and analytics create powerful but distributed states.</w:t>
      </w:r>
    </w:p>
    <w:p>
      <w:pPr>
        <w:pStyle w:val="ListBullet"/>
        <w:spacing w:before="0" w:after="40" w:line="264" w:lineRule="auto"/>
      </w:pPr>
      <w:r>
        <w:rPr>
          <w:rFonts w:ascii="Calibri" w:hAnsi="Calibri" w:eastAsia="Calibri"/>
          <w:b w:val="0"/>
          <w:i w:val="0"/>
          <w:color w:val="17212B"/>
          <w:sz w:val="21"/>
        </w:rPr>
        <w:t>Custom categories and multiple analysis dimensions support exploration.</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STRENGTHS</w:t>
            </w:r>
          </w:p>
        </w:tc>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WEAKNESSES</w:t>
            </w:r>
          </w:p>
        </w:tc>
      </w:tr>
      <w:tr>
        <w:trPr>
          <w:cantSplit/>
        </w:trPr>
        <w:tc>
          <w:tcPr>
            <w:tcW w:type="dxa" w:w="4680"/>
            <w:vAlign w:val="top"/>
          </w:tcPr>
          <w:p>
            <w:pPr>
              <w:spacing w:before="0" w:after="20" w:line="264" w:lineRule="auto"/>
            </w:pPr>
            <w:r>
              <w:rPr>
                <w:rFonts w:ascii="Calibri" w:hAnsi="Calibri" w:eastAsia="Calibri"/>
                <w:b w:val="0"/>
                <w:i w:val="0"/>
                <w:color w:val="17212B"/>
                <w:sz w:val="18"/>
              </w:rPr>
              <w:t>True joint account</w:t>
            </w:r>
          </w:p>
        </w:tc>
        <w:tc>
          <w:tcPr>
            <w:tcW w:type="dxa" w:w="4680"/>
            <w:vAlign w:val="top"/>
          </w:tcPr>
          <w:p>
            <w:pPr>
              <w:spacing w:before="0" w:after="20" w:line="264" w:lineRule="auto"/>
            </w:pPr>
            <w:r>
              <w:rPr>
                <w:rFonts w:ascii="Calibri" w:hAnsi="Calibri" w:eastAsia="Calibri"/>
                <w:b w:val="0"/>
                <w:i w:val="0"/>
                <w:color w:val="17212B"/>
                <w:sz w:val="18"/>
              </w:rPr>
              <w:t>Feature density</w:t>
            </w:r>
          </w:p>
        </w:tc>
      </w:tr>
      <w:tr>
        <w:trPr>
          <w:cantSplit/>
        </w:trPr>
        <w:tc>
          <w:tcPr>
            <w:tcW w:type="dxa" w:w="4680"/>
            <w:vAlign w:val="top"/>
          </w:tcPr>
          <w:p>
            <w:pPr>
              <w:spacing w:before="0" w:after="20" w:line="264" w:lineRule="auto"/>
            </w:pPr>
            <w:r>
              <w:rPr>
                <w:rFonts w:ascii="Calibri" w:hAnsi="Calibri" w:eastAsia="Calibri"/>
                <w:b w:val="0"/>
                <w:i w:val="0"/>
                <w:color w:val="17212B"/>
                <w:sz w:val="18"/>
              </w:rPr>
              <w:t>Fast feedback and control</w:t>
            </w:r>
          </w:p>
        </w:tc>
        <w:tc>
          <w:tcPr>
            <w:tcW w:type="dxa" w:w="4680"/>
            <w:vAlign w:val="top"/>
          </w:tcPr>
          <w:p>
            <w:pPr>
              <w:spacing w:before="0" w:after="20" w:line="264" w:lineRule="auto"/>
            </w:pPr>
            <w:r>
              <w:rPr>
                <w:rFonts w:ascii="Calibri" w:hAnsi="Calibri" w:eastAsia="Calibri"/>
                <w:b w:val="0"/>
                <w:i w:val="0"/>
                <w:color w:val="17212B"/>
                <w:sz w:val="18"/>
              </w:rPr>
              <w:t>Regional eligibility rules</w:t>
            </w:r>
          </w:p>
        </w:tc>
      </w:tr>
      <w:tr>
        <w:trPr>
          <w:cantSplit/>
        </w:trPr>
        <w:tc>
          <w:tcPr>
            <w:tcW w:type="dxa" w:w="4680"/>
            <w:vAlign w:val="top"/>
          </w:tcPr>
          <w:p>
            <w:pPr>
              <w:spacing w:before="0" w:after="20" w:line="264" w:lineRule="auto"/>
            </w:pPr>
            <w:r>
              <w:rPr>
                <w:rFonts w:ascii="Calibri" w:hAnsi="Calibri" w:eastAsia="Calibri"/>
                <w:b w:val="0"/>
                <w:i w:val="0"/>
                <w:color w:val="17212B"/>
                <w:sz w:val="18"/>
              </w:rPr>
              <w:t>Useful income automation</w:t>
            </w:r>
          </w:p>
        </w:tc>
        <w:tc>
          <w:tcPr>
            <w:tcW w:type="dxa" w:w="4680"/>
            <w:vAlign w:val="top"/>
          </w:tcPr>
          <w:p>
            <w:pPr>
              <w:spacing w:before="0" w:after="20" w:line="264" w:lineRule="auto"/>
            </w:pPr>
            <w:r>
              <w:rPr>
                <w:rFonts w:ascii="Calibri" w:hAnsi="Calibri" w:eastAsia="Calibri"/>
                <w:b w:val="0"/>
                <w:i w:val="0"/>
                <w:color w:val="17212B"/>
                <w:sz w:val="18"/>
              </w:rPr>
              <w:t>Joint analytics gaps</w:t>
            </w:r>
          </w:p>
        </w:tc>
      </w:tr>
      <w:tr>
        <w:trPr>
          <w:cantSplit/>
        </w:trPr>
        <w:tc>
          <w:tcPr>
            <w:tcW w:type="dxa" w:w="4680"/>
            <w:vAlign w:val="top"/>
          </w:tcPr>
          <w:p>
            <w:pPr>
              <w:spacing w:before="0" w:after="20" w:line="264" w:lineRule="auto"/>
            </w:pPr>
            <w:r>
              <w:rPr>
                <w:rFonts w:ascii="Calibri" w:hAnsi="Calibri" w:eastAsia="Calibri"/>
                <w:b w:val="0"/>
                <w:i w:val="0"/>
                <w:color w:val="17212B"/>
                <w:sz w:val="18"/>
              </w:rPr>
              <w:t>Engaging, personalized UI</w:t>
            </w:r>
          </w:p>
        </w:tc>
        <w:tc>
          <w:tcPr>
            <w:tcW w:type="dxa" w:w="4680"/>
            <w:vAlign w:val="top"/>
          </w:tcPr>
          <w:p>
            <w:pPr>
              <w:spacing w:before="0" w:after="20" w:line="264" w:lineRule="auto"/>
            </w:pPr>
            <w:r>
              <w:rPr>
                <w:rFonts w:ascii="Calibri" w:hAnsi="Calibri" w:eastAsia="Calibri"/>
                <w:b w:val="0"/>
                <w:i w:val="0"/>
                <w:color w:val="17212B"/>
                <w:sz w:val="18"/>
              </w:rPr>
              <w:t>Household picture can fragment</w:t>
            </w:r>
          </w:p>
        </w:tc>
      </w:tr>
    </w:tbl>
    <w:p>
      <w:r>
        <w:br w:type="page"/>
      </w:r>
    </w:p>
    <w:p>
      <w:pPr>
        <w:pStyle w:val="Heading1"/>
        <w:keepNext/>
        <w:spacing w:before="0" w:after="80" w:line="264" w:lineRule="auto"/>
      </w:pPr>
      <w:r>
        <w:rPr>
          <w:rFonts w:ascii="Calibri" w:hAnsi="Calibri" w:eastAsia="Calibri"/>
          <w:b/>
          <w:i w:val="0"/>
          <w:color w:val="2E74B5"/>
          <w:sz w:val="32"/>
        </w:rPr>
        <w:t>Revolut: joint accounts, automation, and analytics</w:t>
      </w:r>
    </w:p>
    <w:p>
      <w:pPr>
        <w:keepNext/>
        <w:spacing w:after="40"/>
        <w:jc w:val="center"/>
      </w:pPr>
      <w:r>
        <w:drawing>
          <wp:inline xmlns:a="http://schemas.openxmlformats.org/drawingml/2006/main" xmlns:pic="http://schemas.openxmlformats.org/drawingml/2006/picture">
            <wp:extent cx="2468880" cy="3291840"/>
            <wp:docPr id="4" name="Picture 4"/>
            <wp:cNvGraphicFramePr>
              <a:graphicFrameLocks noChangeAspect="1"/>
            </wp:cNvGraphicFramePr>
            <a:graphic>
              <a:graphicData uri="http://schemas.openxmlformats.org/drawingml/2006/picture">
                <pic:pic>
                  <pic:nvPicPr>
                    <pic:cNvPr id="0" name="revolut-joint-phone.png"/>
                    <pic:cNvPicPr/>
                  </pic:nvPicPr>
                  <pic:blipFill>
                    <a:blip r:embed="rId14"/>
                    <a:stretch>
                      <a:fillRect/>
                    </a:stretch>
                  </pic:blipFill>
                  <pic:spPr>
                    <a:xfrm>
                      <a:off x="0" y="0"/>
                      <a:ext cx="2468880" cy="3291840"/>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Revolut uses immersive imagery and a high-contrast spending card to make analytics feel immediate and personal.</w:t>
      </w:r>
    </w:p>
    <w:p>
      <w:pPr>
        <w:pStyle w:val="Heading2"/>
        <w:keepNext/>
        <w:spacing w:before="240" w:after="80" w:line="264" w:lineRule="auto"/>
      </w:pPr>
      <w:r>
        <w:rPr>
          <w:rFonts w:ascii="Calibri" w:hAnsi="Calibri" w:eastAsia="Calibri"/>
          <w:b/>
          <w:i w:val="0"/>
          <w:color w:val="2E74B5"/>
          <w:sz w:val="26"/>
        </w:rPr>
        <w:t>The joint account is a separate real account</w:t>
      </w:r>
    </w:p>
    <w:p>
      <w:pPr>
        <w:spacing w:before="0" w:after="120" w:line="264" w:lineRule="auto"/>
      </w:pPr>
      <w:r>
        <w:rPr>
          <w:rFonts w:ascii="Calibri" w:hAnsi="Calibri" w:eastAsia="Calibri"/>
          <w:b w:val="0"/>
          <w:i w:val="0"/>
          <w:color w:val="17212B"/>
          <w:sz w:val="22"/>
        </w:rPr>
        <w:t>Both holders can add, spend, withdraw, and manage money. Each must already have a verified personal Revolut account, be under the same country/entity, be contacts, and accept the invitation. Joint spending uses cards linked to that account. The clean ledger boundary is useful, but the setup can feel like creating a third account.</w:t>
      </w:r>
    </w:p>
    <w:p>
      <w:pPr>
        <w:pStyle w:val="Heading2"/>
        <w:keepNext/>
        <w:spacing w:before="240" w:after="80" w:line="264" w:lineRule="auto"/>
      </w:pPr>
      <w:r>
        <w:rPr>
          <w:rFonts w:ascii="Calibri" w:hAnsi="Calibri" w:eastAsia="Calibri"/>
          <w:b/>
          <w:i w:val="0"/>
          <w:color w:val="2E74B5"/>
          <w:sz w:val="26"/>
        </w:rPr>
        <w:t>Income Sorter moves actual money</w:t>
      </w:r>
    </w:p>
    <w:p>
      <w:pPr>
        <w:spacing w:before="0" w:after="120" w:line="264" w:lineRule="auto"/>
      </w:pPr>
      <w:r>
        <w:rPr>
          <w:rFonts w:ascii="Calibri" w:hAnsi="Calibri" w:eastAsia="Calibri"/>
          <w:b w:val="0"/>
          <w:i w:val="0"/>
          <w:color w:val="17212B"/>
          <w:sz w:val="22"/>
        </w:rPr>
        <w:t>When recognized income arrives, users can distribute fixed amounts to destinations such as a joint account, Pockets, Savings, Investments, or another person. This is a strong automation pattern because the trigger, action, and result are visible.</w:t>
      </w:r>
    </w:p>
    <w:p>
      <w:pPr>
        <w:pStyle w:val="Heading2"/>
        <w:keepNext/>
        <w:spacing w:before="240" w:after="80" w:line="264" w:lineRule="auto"/>
      </w:pPr>
      <w:r>
        <w:rPr>
          <w:rFonts w:ascii="Calibri" w:hAnsi="Calibri" w:eastAsia="Calibri"/>
          <w:b/>
          <w:i w:val="0"/>
          <w:color w:val="2E74B5"/>
          <w:sz w:val="26"/>
        </w:rPr>
        <w:t>Analytics has a household gap</w:t>
      </w:r>
    </w:p>
    <w:p>
      <w:pPr>
        <w:spacing w:before="0" w:after="120" w:line="264" w:lineRule="auto"/>
      </w:pPr>
      <w:r>
        <w:rPr>
          <w:rFonts w:ascii="Calibri" w:hAnsi="Calibri" w:eastAsia="Calibri"/>
          <w:b w:val="0"/>
          <w:i w:val="0"/>
          <w:color w:val="17212B"/>
          <w:sz w:val="22"/>
        </w:rPr>
        <w:t>Revolut supports spending, income, cash flow, total wealth, categories, merchants, countries, currencies, and cards. Current official help material states that joint accounts are excluded from the spending section, so personal analytics does not automatically become one household truth.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Wollie opportunity  </w:t>
            </w:r>
            <w:r>
              <w:rPr>
                <w:rFonts w:ascii="Calibri" w:hAnsi="Calibri" w:eastAsia="Calibri"/>
                <w:b w:val="0"/>
                <w:i w:val="0"/>
                <w:color w:val="17212B"/>
                <w:sz w:val="21"/>
              </w:rPr>
              <w:t>Use household-wide proportional allocation across multiple incomes. Preview the calculation, then keep virtual assignment separate from any real transfer.</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Monarch: the closest planning benchmark</w:t>
      </w:r>
    </w:p>
    <w:p>
      <w:pPr>
        <w:spacing w:before="0" w:after="160" w:line="264" w:lineRule="auto"/>
      </w:pPr>
      <w:r>
        <w:rPr>
          <w:rFonts w:ascii="Calibri" w:hAnsi="Calibri" w:eastAsia="Calibri"/>
          <w:b w:val="0"/>
          <w:i w:val="0"/>
          <w:color w:val="082C4C"/>
          <w:sz w:val="24"/>
        </w:rPr>
        <w:t>Monarch connects external accounts and turns their data into a household workspace. It is the closest direct reference for Wollie's transactions, plans, goals, recurring expenses, and reports.</w:t>
      </w:r>
    </w:p>
    <w:p>
      <w:pPr>
        <w:keepNext/>
        <w:spacing w:after="40"/>
        <w:jc w:val="center"/>
      </w:pPr>
      <w:r>
        <w:drawing>
          <wp:inline xmlns:a="http://schemas.openxmlformats.org/drawingml/2006/main" xmlns:pic="http://schemas.openxmlformats.org/drawingml/2006/picture">
            <wp:extent cx="4892040" cy="4579619"/>
            <wp:docPr id="5" name="Picture 5"/>
            <wp:cNvGraphicFramePr>
              <a:graphicFrameLocks noChangeAspect="1"/>
            </wp:cNvGraphicFramePr>
            <a:graphic>
              <a:graphicData uri="http://schemas.openxmlformats.org/drawingml/2006/picture">
                <pic:pic>
                  <pic:nvPicPr>
                    <pic:cNvPr id="0" name="monarch-couples-ui-1.png"/>
                    <pic:cNvPicPr/>
                  </pic:nvPicPr>
                  <pic:blipFill>
                    <a:blip r:embed="rId15"/>
                    <a:stretch>
                      <a:fillRect/>
                    </a:stretch>
                  </pic:blipFill>
                  <pic:spPr>
                    <a:xfrm>
                      <a:off x="0" y="0"/>
                      <a:ext cx="4892040" cy="4579619"/>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Monarch combines account aggregation, ownership labels, and net worth in one household dashboard.</w:t>
      </w:r>
    </w:p>
    <w:p>
      <w:pPr>
        <w:pStyle w:val="Heading2"/>
        <w:keepNext/>
        <w:spacing w:before="240" w:after="80" w:line="264" w:lineRule="auto"/>
      </w:pPr>
      <w:r>
        <w:rPr>
          <w:rFonts w:ascii="Calibri" w:hAnsi="Calibri" w:eastAsia="Calibri"/>
          <w:b/>
          <w:i w:val="0"/>
          <w:color w:val="2E74B5"/>
          <w:sz w:val="26"/>
        </w:rPr>
        <w:t>Why it matters</w:t>
      </w:r>
    </w:p>
    <w:p>
      <w:pPr>
        <w:pStyle w:val="ListBullet"/>
        <w:spacing w:before="0" w:after="40" w:line="264" w:lineRule="auto"/>
      </w:pPr>
      <w:r>
        <w:rPr>
          <w:rFonts w:ascii="Calibri" w:hAnsi="Calibri" w:eastAsia="Calibri"/>
          <w:b w:val="0"/>
          <w:i w:val="0"/>
          <w:color w:val="17212B"/>
          <w:sz w:val="21"/>
        </w:rPr>
        <w:t>Separate logins and one subscription support a real household workflow.</w:t>
      </w:r>
    </w:p>
    <w:p>
      <w:pPr>
        <w:pStyle w:val="ListBullet"/>
        <w:spacing w:before="0" w:after="40" w:line="264" w:lineRule="auto"/>
      </w:pPr>
      <w:r>
        <w:rPr>
          <w:rFonts w:ascii="Calibri" w:hAnsi="Calibri" w:eastAsia="Calibri"/>
          <w:b w:val="0"/>
          <w:i w:val="0"/>
          <w:color w:val="17212B"/>
          <w:sz w:val="21"/>
        </w:rPr>
        <w:t>Connected data is transformed through categories, tags, rules, review assignments, budgets, goals, and reports.</w:t>
      </w:r>
    </w:p>
    <w:p>
      <w:pPr>
        <w:pStyle w:val="ListBullet"/>
        <w:spacing w:before="0" w:after="40" w:line="264" w:lineRule="auto"/>
      </w:pPr>
      <w:r>
        <w:rPr>
          <w:rFonts w:ascii="Calibri" w:hAnsi="Calibri" w:eastAsia="Calibri"/>
          <w:b w:val="0"/>
          <w:i w:val="0"/>
          <w:color w:val="17212B"/>
          <w:sz w:val="21"/>
        </w:rPr>
        <w:t>The product gives value before a budget is complete: cash flow and categorized spending still work.</w:t>
      </w:r>
    </w:p>
    <w:p>
      <w:pPr>
        <w:pStyle w:val="ListBullet"/>
        <w:spacing w:before="0" w:after="40" w:line="264" w:lineRule="auto"/>
      </w:pPr>
      <w:r>
        <w:rPr>
          <w:rFonts w:ascii="Calibri" w:hAnsi="Calibri" w:eastAsia="Calibri"/>
          <w:b w:val="0"/>
          <w:i w:val="0"/>
          <w:color w:val="17212B"/>
          <w:sz w:val="21"/>
        </w:rPr>
        <w:t>Its weaknesses expose the hardest parts of Wollie's problem: sync trust, privacy, and explainable plan maths.</w:t>
      </w:r>
    </w:p>
    <w:p>
      <w:r>
        <w:br w:type="page"/>
      </w:r>
    </w:p>
    <w:p>
      <w:pPr>
        <w:pStyle w:val="Heading1"/>
        <w:keepNext/>
        <w:spacing w:before="0" w:after="80" w:line="264" w:lineRule="auto"/>
      </w:pPr>
      <w:r>
        <w:rPr>
          <w:rFonts w:ascii="Calibri" w:hAnsi="Calibri" w:eastAsia="Calibri"/>
          <w:b/>
          <w:i w:val="0"/>
          <w:color w:val="2E74B5"/>
          <w:sz w:val="32"/>
        </w:rPr>
        <w:t>Monarch: collaboration without privacy</w:t>
      </w:r>
    </w:p>
    <w:p>
      <w:pPr>
        <w:keepNext/>
        <w:spacing w:after="40"/>
        <w:jc w:val="center"/>
      </w:pPr>
      <w:r>
        <w:drawing>
          <wp:inline xmlns:a="http://schemas.openxmlformats.org/drawingml/2006/main" xmlns:pic="http://schemas.openxmlformats.org/drawingml/2006/picture">
            <wp:extent cx="5440680" cy="3110205"/>
            <wp:docPr id="6" name="Picture 6"/>
            <wp:cNvGraphicFramePr>
              <a:graphicFrameLocks noChangeAspect="1"/>
            </wp:cNvGraphicFramePr>
            <a:graphic>
              <a:graphicData uri="http://schemas.openxmlformats.org/drawingml/2006/picture">
                <pic:pic>
                  <pic:nvPicPr>
                    <pic:cNvPr id="0" name="monarch-transaction-owner.png"/>
                    <pic:cNvPicPr/>
                  </pic:nvPicPr>
                  <pic:blipFill>
                    <a:blip r:embed="rId16"/>
                    <a:stretch>
                      <a:fillRect/>
                    </a:stretch>
                  </pic:blipFill>
                  <pic:spPr>
                    <a:xfrm>
                      <a:off x="0" y="0"/>
                      <a:ext cx="5440680" cy="3110205"/>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Shared Views assigns an owner to a transaction. Ownership changes filtering and attribution, not access permission.</w:t>
      </w:r>
    </w:p>
    <w:p>
      <w:pPr>
        <w:pStyle w:val="Heading2"/>
        <w:keepNext/>
        <w:spacing w:before="240" w:after="80" w:line="264" w:lineRule="auto"/>
      </w:pPr>
      <w:r>
        <w:rPr>
          <w:rFonts w:ascii="Calibri" w:hAnsi="Calibri" w:eastAsia="Calibri"/>
          <w:b/>
          <w:i w:val="0"/>
          <w:color w:val="2E74B5"/>
          <w:sz w:val="26"/>
        </w:rPr>
        <w:t>Shared Views</w:t>
      </w:r>
    </w:p>
    <w:p>
      <w:pPr>
        <w:spacing w:before="0" w:after="120" w:line="264" w:lineRule="auto"/>
      </w:pPr>
      <w:r>
        <w:rPr>
          <w:rFonts w:ascii="Calibri" w:hAnsi="Calibri" w:eastAsia="Calibri"/>
          <w:b w:val="0"/>
          <w:i w:val="0"/>
          <w:color w:val="17212B"/>
          <w:sz w:val="22"/>
        </w:rPr>
        <w:t>Accounts and transactions can be Shared or Individual and filtered by owner across Accounts, Transactions, Reports, and Cash Flow. Ownership is inherited from an account and may be changed with rules.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Critical limitation  </w:t>
            </w:r>
            <w:r>
              <w:rPr>
                <w:rFonts w:ascii="Calibri" w:hAnsi="Calibri" w:eastAsia="Calibri"/>
                <w:b w:val="0"/>
                <w:i w:val="0"/>
                <w:color w:val="17212B"/>
                <w:sz w:val="21"/>
              </w:rPr>
              <w:t>Monarch's help centre says all household members still have full visibility. Shared and Individual are labels and filters, not privacy controls. The household also has one shared budget.</w:t>
            </w:r>
          </w:p>
        </w:tc>
      </w:tr>
    </w:tbl>
    <w:p>
      <w:pPr>
        <w:spacing w:after="0"/>
      </w:pPr>
    </w:p>
    <w:p>
      <w:pPr>
        <w:pStyle w:val="Heading2"/>
        <w:keepNext/>
        <w:spacing w:before="240" w:after="80" w:line="264" w:lineRule="auto"/>
      </w:pPr>
      <w:r>
        <w:rPr>
          <w:rFonts w:ascii="Calibri" w:hAnsi="Calibri" w:eastAsia="Calibri"/>
          <w:b/>
          <w:i w:val="0"/>
          <w:color w:val="2E74B5"/>
          <w:sz w:val="26"/>
        </w:rPr>
        <w:t>Lifecycle friction</w:t>
      </w:r>
    </w:p>
    <w:p>
      <w:pPr>
        <w:spacing w:before="0" w:after="120" w:line="264" w:lineRule="auto"/>
      </w:pPr>
      <w:r>
        <w:rPr>
          <w:rFonts w:ascii="Calibri" w:hAnsi="Calibri" w:eastAsia="Calibri"/>
          <w:b w:val="0"/>
          <w:i w:val="0"/>
          <w:color w:val="17212B"/>
          <w:sz w:val="22"/>
        </w:rPr>
        <w:t>A person with an existing Monarch account cannot simply join another household with that account. Official guidance points to using another email/new account or deleting the old account. Removing a member can also remove accounts they added.</w:t>
      </w:r>
    </w:p>
    <w:p>
      <w:pPr>
        <w:pStyle w:val="Heading2"/>
        <w:keepNext/>
        <w:spacing w:before="240" w:after="80" w:line="264" w:lineRule="auto"/>
      </w:pPr>
      <w:r>
        <w:rPr>
          <w:rFonts w:ascii="Calibri" w:hAnsi="Calibri" w:eastAsia="Calibri"/>
          <w:b/>
          <w:i w:val="0"/>
          <w:color w:val="2E74B5"/>
          <w:sz w:val="26"/>
        </w:rPr>
        <w:t>Wollie model</w:t>
      </w:r>
    </w:p>
    <w:p>
      <w:pPr>
        <w:spacing w:before="0" w:after="0" w:line="264" w:lineRule="auto"/>
      </w:pPr>
      <w:r>
        <w:rPr>
          <w:rFonts w:ascii="Calibri" w:hAnsi="Calibri" w:eastAsia="Calibri"/>
          <w:b/>
          <w:i w:val="0"/>
          <w:color w:val="082C4C"/>
          <w:sz w:val="22"/>
        </w:rPr>
        <w:t>Keep legal account ownership, transaction attribution, and visibility as separate fields. Visibility must be enforceable: Private, Shared details, or Household total only.</w:t>
      </w:r>
    </w:p>
    <w:p>
      <w:r>
        <w:br w:type="page"/>
      </w:r>
    </w:p>
    <w:p>
      <w:pPr>
        <w:pStyle w:val="Heading1"/>
        <w:keepNext/>
        <w:spacing w:before="0" w:after="80" w:line="264" w:lineRule="auto"/>
      </w:pPr>
      <w:r>
        <w:rPr>
          <w:rFonts w:ascii="Calibri" w:hAnsi="Calibri" w:eastAsia="Calibri"/>
          <w:b/>
          <w:i w:val="0"/>
          <w:color w:val="2E74B5"/>
          <w:sz w:val="32"/>
        </w:rPr>
        <w:t>Monarch: review, rules, and recurring</w:t>
      </w:r>
    </w:p>
    <w:p>
      <w:pPr>
        <w:keepNext/>
        <w:spacing w:after="40"/>
        <w:jc w:val="center"/>
      </w:pPr>
      <w:r>
        <w:drawing>
          <wp:inline xmlns:a="http://schemas.openxmlformats.org/drawingml/2006/main" xmlns:pic="http://schemas.openxmlformats.org/drawingml/2006/picture">
            <wp:extent cx="5303520" cy="3730362"/>
            <wp:docPr id="7" name="Picture 7"/>
            <wp:cNvGraphicFramePr>
              <a:graphicFrameLocks noChangeAspect="1"/>
            </wp:cNvGraphicFramePr>
            <a:graphic>
              <a:graphicData uri="http://schemas.openxmlformats.org/drawingml/2006/picture">
                <pic:pic>
                  <pic:nvPicPr>
                    <pic:cNvPr id="0" name="monarch-couples-ui-2.png"/>
                    <pic:cNvPicPr/>
                  </pic:nvPicPr>
                  <pic:blipFill>
                    <a:blip r:embed="rId17"/>
                    <a:stretch>
                      <a:fillRect/>
                    </a:stretch>
                  </pic:blipFill>
                  <pic:spPr>
                    <a:xfrm>
                      <a:off x="0" y="0"/>
                      <a:ext cx="5303520" cy="3730362"/>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A household member can own the review task for uncertain transactions. This creates a practical collaboration loop.</w:t>
      </w:r>
    </w:p>
    <w:p>
      <w:pPr>
        <w:pStyle w:val="Heading2"/>
        <w:keepNext/>
        <w:spacing w:before="240" w:after="80" w:line="264" w:lineRule="auto"/>
      </w:pPr>
      <w:r>
        <w:rPr>
          <w:rFonts w:ascii="Calibri" w:hAnsi="Calibri" w:eastAsia="Calibri"/>
          <w:b/>
          <w:i w:val="0"/>
          <w:color w:val="2E74B5"/>
          <w:sz w:val="26"/>
        </w:rPr>
        <w:t>Transactions and rules</w:t>
      </w:r>
    </w:p>
    <w:p>
      <w:pPr>
        <w:spacing w:before="0" w:after="120" w:line="264" w:lineRule="auto"/>
      </w:pPr>
      <w:r>
        <w:rPr>
          <w:rFonts w:ascii="Calibri" w:hAnsi="Calibri" w:eastAsia="Calibri"/>
          <w:b w:val="0"/>
          <w:i w:val="0"/>
          <w:color w:val="17212B"/>
          <w:sz w:val="22"/>
        </w:rPr>
        <w:t>Each transaction has one category and may have multiple tags. Rules can match merchant, amount, category, or account, then rename, categorize, tag, hide, mark for review, or link to a goal. Rule order matters.</w:t>
      </w:r>
    </w:p>
    <w:p>
      <w:pPr>
        <w:pStyle w:val="Heading2"/>
        <w:keepNext/>
        <w:spacing w:before="240" w:after="80" w:line="264" w:lineRule="auto"/>
      </w:pPr>
      <w:r>
        <w:rPr>
          <w:rFonts w:ascii="Calibri" w:hAnsi="Calibri" w:eastAsia="Calibri"/>
          <w:b/>
          <w:i w:val="0"/>
          <w:color w:val="2E74B5"/>
          <w:sz w:val="26"/>
        </w:rPr>
        <w:t>Needs Review</w:t>
      </w:r>
    </w:p>
    <w:p>
      <w:pPr>
        <w:spacing w:before="0" w:after="120" w:line="264" w:lineRule="auto"/>
      </w:pPr>
      <w:r>
        <w:rPr>
          <w:rFonts w:ascii="Calibri" w:hAnsi="Calibri" w:eastAsia="Calibri"/>
          <w:b w:val="0"/>
          <w:i w:val="0"/>
          <w:color w:val="17212B"/>
          <w:sz w:val="22"/>
        </w:rPr>
        <w:t>Transactions can be assigned to self, partner, or another household member. This is one of Monarch's best patterns because it makes imperfect automation collaborative instead of invisible.</w:t>
      </w:r>
    </w:p>
    <w:p>
      <w:pPr>
        <w:pStyle w:val="Heading2"/>
        <w:keepNext/>
        <w:spacing w:before="240" w:after="80" w:line="264" w:lineRule="auto"/>
      </w:pPr>
      <w:r>
        <w:rPr>
          <w:rFonts w:ascii="Calibri" w:hAnsi="Calibri" w:eastAsia="Calibri"/>
          <w:b/>
          <w:i w:val="0"/>
          <w:color w:val="2E74B5"/>
          <w:sz w:val="26"/>
        </w:rPr>
        <w:t>Recurring detection</w:t>
      </w:r>
    </w:p>
    <w:p>
      <w:pPr>
        <w:spacing w:before="0" w:after="120" w:line="264" w:lineRule="auto"/>
      </w:pPr>
      <w:r>
        <w:rPr>
          <w:rFonts w:ascii="Calibri" w:hAnsi="Calibri" w:eastAsia="Calibri"/>
          <w:b w:val="0"/>
          <w:i w:val="0"/>
          <w:color w:val="17212B"/>
          <w:sz w:val="22"/>
        </w:rPr>
        <w:t>Monarch detects recurring merchants, transfers, and paychecks and shows expected dates and status. The model is valuable for forecasting but probabilistic. Wollie should expose confidence, correction, and a link back to supporting transactions.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Simplify for Wollie  </w:t>
            </w:r>
            <w:r>
              <w:rPr>
                <w:rFonts w:ascii="Calibri" w:hAnsi="Calibri" w:eastAsia="Calibri"/>
                <w:b w:val="0"/>
                <w:i w:val="0"/>
                <w:color w:val="17212B"/>
                <w:sz w:val="21"/>
              </w:rPr>
              <w:t>Ask one review question at a time. Offer Apply once or Create rule. Always provide undo and Why did Wollie do this?</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Monarch: budget and goals logic</w:t>
      </w:r>
    </w:p>
    <w:p>
      <w:pPr>
        <w:keepNext/>
        <w:spacing w:after="40"/>
        <w:jc w:val="center"/>
      </w:pPr>
      <w:r>
        <w:drawing>
          <wp:inline xmlns:a="http://schemas.openxmlformats.org/drawingml/2006/main" xmlns:pic="http://schemas.openxmlformats.org/drawingml/2006/picture">
            <wp:extent cx="4846320" cy="1913352"/>
            <wp:docPr id="8" name="Picture 8"/>
            <wp:cNvGraphicFramePr>
              <a:graphicFrameLocks noChangeAspect="1"/>
            </wp:cNvGraphicFramePr>
            <a:graphic>
              <a:graphicData uri="http://schemas.openxmlformats.org/drawingml/2006/picture">
                <pic:pic>
                  <pic:nvPicPr>
                    <pic:cNvPr id="0" name="monarch-budget-overview.png"/>
                    <pic:cNvPicPr/>
                  </pic:nvPicPr>
                  <pic:blipFill>
                    <a:blip r:embed="rId18"/>
                    <a:stretch>
                      <a:fillRect/>
                    </a:stretch>
                  </pic:blipFill>
                  <pic:spPr>
                    <a:xfrm>
                      <a:off x="0" y="0"/>
                      <a:ext cx="4846320" cy="1913352"/>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Monarch's budget summary leads with Left to budget, a useful but calculation-heavy concept.</w:t>
      </w:r>
    </w:p>
    <w:p>
      <w:pPr>
        <w:pStyle w:val="Heading2"/>
        <w:keepNext/>
        <w:spacing w:before="240" w:after="80" w:line="264" w:lineRule="auto"/>
      </w:pPr>
      <w:r>
        <w:rPr>
          <w:rFonts w:ascii="Calibri" w:hAnsi="Calibri" w:eastAsia="Calibri"/>
          <w:b/>
          <w:i w:val="0"/>
          <w:color w:val="2E74B5"/>
          <w:sz w:val="26"/>
        </w:rPr>
        <w:t>Category and Flex budgets</w:t>
      </w:r>
    </w:p>
    <w:p>
      <w:pPr>
        <w:spacing w:before="0" w:after="120" w:line="264" w:lineRule="auto"/>
      </w:pPr>
      <w:r>
        <w:rPr>
          <w:rFonts w:ascii="Calibri" w:hAnsi="Calibri" w:eastAsia="Calibri"/>
          <w:b w:val="0"/>
          <w:i w:val="0"/>
          <w:color w:val="17212B"/>
          <w:sz w:val="22"/>
        </w:rPr>
        <w:t>The budget is monthly cash-flow based rather than a mirror of account balances. Expected income, planned expenses, and savings determine the monthly picture. Flex budgeting groups fixed, non-monthly, and flexible spending. A category can also have no target and still track spending, which is useful for unpredictable Health expenses.</w:t>
      </w:r>
    </w:p>
    <w:p>
      <w:pPr>
        <w:pStyle w:val="Heading2"/>
        <w:keepNext/>
        <w:spacing w:before="240" w:after="80" w:line="264" w:lineRule="auto"/>
      </w:pPr>
      <w:r>
        <w:rPr>
          <w:rFonts w:ascii="Calibri" w:hAnsi="Calibri" w:eastAsia="Calibri"/>
          <w:b/>
          <w:i w:val="0"/>
          <w:color w:val="2E74B5"/>
          <w:sz w:val="26"/>
        </w:rPr>
        <w:t>Rollover</w:t>
      </w:r>
    </w:p>
    <w:p>
      <w:pPr>
        <w:spacing w:before="0" w:after="120" w:line="264" w:lineRule="auto"/>
      </w:pPr>
      <w:r>
        <w:rPr>
          <w:rFonts w:ascii="Calibri" w:hAnsi="Calibri" w:eastAsia="Calibri"/>
          <w:b w:val="0"/>
          <w:i w:val="0"/>
          <w:color w:val="17212B"/>
          <w:sz w:val="22"/>
        </w:rPr>
        <w:t>Rollover carries the previous remaining amount into the new month. This is powerful for irregular expenses, but it adds another state users must reconcile with the bank balance.</w:t>
      </w:r>
    </w:p>
    <w:p>
      <w:pPr>
        <w:pStyle w:val="Heading2"/>
        <w:keepNext/>
        <w:spacing w:before="240" w:after="80" w:line="264" w:lineRule="auto"/>
      </w:pPr>
      <w:r>
        <w:rPr>
          <w:rFonts w:ascii="Calibri" w:hAnsi="Calibri" w:eastAsia="Calibri"/>
          <w:b/>
          <w:i w:val="0"/>
          <w:color w:val="2E74B5"/>
          <w:sz w:val="26"/>
        </w:rPr>
        <w:t>Goals</w:t>
      </w:r>
    </w:p>
    <w:p>
      <w:pPr>
        <w:spacing w:before="0" w:after="120" w:line="264" w:lineRule="auto"/>
      </w:pPr>
      <w:r>
        <w:rPr>
          <w:rFonts w:ascii="Calibri" w:hAnsi="Calibri" w:eastAsia="Calibri"/>
          <w:b w:val="0"/>
          <w:i w:val="0"/>
          <w:color w:val="17212B"/>
          <w:sz w:val="22"/>
        </w:rPr>
        <w:t>Goals can link planned contributions and account balances. Public product changes through 2026 show how difficult the model is to get right. The main risk is blending a planned contribution, an actual transfer, and a changing asset balance.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Wollie rule  </w:t>
            </w:r>
            <w:r>
              <w:rPr>
                <w:rFonts w:ascii="Calibri" w:hAnsi="Calibri" w:eastAsia="Calibri"/>
                <w:b w:val="0"/>
                <w:i w:val="0"/>
                <w:color w:val="17212B"/>
                <w:sz w:val="21"/>
              </w:rPr>
              <w:t>Every reserve or goal shows Planned this month, Actually contributed, and Current connected balance as separate facts.</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Five journeys Wollie must make clearer</w:t>
      </w:r>
    </w:p>
    <w:tbl>
      <w:tblPr>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JOURNEY</w:t>
            </w:r>
          </w:p>
        </w:tc>
        <w:tc>
          <w:tcPr>
            <w:tcW w:type="dxa" w:w="686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IDEAL WOLLIE BEHAVIOUR</w:t>
            </w:r>
          </w:p>
        </w:tc>
      </w:tr>
      <w:tr>
        <w:trPr>
          <w:cantSplit/>
        </w:trPr>
        <w:tc>
          <w:tcPr>
            <w:tcW w:type="dxa" w:w="2500"/>
            <w:vAlign w:val="top"/>
          </w:tcPr>
          <w:p>
            <w:pPr>
              <w:spacing w:before="0" w:after="20" w:line="264" w:lineRule="auto"/>
            </w:pPr>
            <w:r>
              <w:rPr>
                <w:rFonts w:ascii="Calibri" w:hAnsi="Calibri" w:eastAsia="Calibri"/>
                <w:b w:val="0"/>
                <w:i w:val="0"/>
                <w:color w:val="17212B"/>
                <w:sz w:val="18"/>
              </w:rPr>
              <w:t>1. Salary arrives</w:t>
            </w:r>
          </w:p>
        </w:tc>
        <w:tc>
          <w:tcPr>
            <w:tcW w:type="dxa" w:w="6860"/>
            <w:vAlign w:val="top"/>
          </w:tcPr>
          <w:p>
            <w:pPr>
              <w:spacing w:before="0" w:after="20" w:line="264" w:lineRule="auto"/>
            </w:pPr>
            <w:r>
              <w:rPr>
                <w:rFonts w:ascii="Calibri" w:hAnsi="Calibri" w:eastAsia="Calibri"/>
                <w:b w:val="0"/>
                <w:i w:val="0"/>
                <w:color w:val="17212B"/>
                <w:sz w:val="18"/>
              </w:rPr>
              <w:t>Show recognized income, proportional allocation preview, and new plan amounts. Do not imply money moved.</w:t>
            </w:r>
          </w:p>
        </w:tc>
      </w:tr>
      <w:tr>
        <w:trPr>
          <w:cantSplit/>
        </w:trPr>
        <w:tc>
          <w:tcPr>
            <w:tcW w:type="dxa" w:w="2500"/>
            <w:vAlign w:val="top"/>
          </w:tcPr>
          <w:p>
            <w:pPr>
              <w:spacing w:before="0" w:after="20" w:line="264" w:lineRule="auto"/>
            </w:pPr>
            <w:r>
              <w:rPr>
                <w:rFonts w:ascii="Calibri" w:hAnsi="Calibri" w:eastAsia="Calibri"/>
                <w:b w:val="0"/>
                <w:i w:val="0"/>
                <w:color w:val="17212B"/>
                <w:sz w:val="18"/>
              </w:rPr>
              <w:t>2. Grocery appears</w:t>
            </w:r>
          </w:p>
        </w:tc>
        <w:tc>
          <w:tcPr>
            <w:tcW w:type="dxa" w:w="6860"/>
            <w:vAlign w:val="top"/>
          </w:tcPr>
          <w:p>
            <w:pPr>
              <w:spacing w:before="0" w:after="20" w:line="264" w:lineRule="auto"/>
            </w:pPr>
            <w:r>
              <w:rPr>
                <w:rFonts w:ascii="Calibri" w:hAnsi="Calibri" w:eastAsia="Calibri"/>
                <w:b w:val="0"/>
                <w:i w:val="0"/>
                <w:color w:val="17212B"/>
                <w:sz w:val="18"/>
              </w:rPr>
              <w:t>Categorize to Groceries, map to Food, and reduce the amount left. Keep the transaction row compact.</w:t>
            </w:r>
          </w:p>
        </w:tc>
      </w:tr>
      <w:tr>
        <w:trPr>
          <w:cantSplit/>
        </w:trPr>
        <w:tc>
          <w:tcPr>
            <w:tcW w:type="dxa" w:w="2500"/>
            <w:vAlign w:val="top"/>
          </w:tcPr>
          <w:p>
            <w:pPr>
              <w:spacing w:before="0" w:after="20" w:line="264" w:lineRule="auto"/>
            </w:pPr>
            <w:r>
              <w:rPr>
                <w:rFonts w:ascii="Calibri" w:hAnsi="Calibri" w:eastAsia="Calibri"/>
                <w:b w:val="0"/>
                <w:i w:val="0"/>
                <w:color w:val="17212B"/>
                <w:sz w:val="18"/>
              </w:rPr>
              <w:t>3. Pension transfer</w:t>
            </w:r>
          </w:p>
        </w:tc>
        <w:tc>
          <w:tcPr>
            <w:tcW w:type="dxa" w:w="6860"/>
            <w:vAlign w:val="top"/>
          </w:tcPr>
          <w:p>
            <w:pPr>
              <w:spacing w:before="0" w:after="20" w:line="264" w:lineRule="auto"/>
            </w:pPr>
            <w:r>
              <w:rPr>
                <w:rFonts w:ascii="Calibri" w:hAnsi="Calibri" w:eastAsia="Calibri"/>
                <w:b w:val="0"/>
                <w:i w:val="0"/>
                <w:color w:val="17212B"/>
                <w:sz w:val="18"/>
              </w:rPr>
              <w:t>Count as an actual contribution, not everyday spending. Preserve the original bank transaction.</w:t>
            </w:r>
          </w:p>
        </w:tc>
      </w:tr>
      <w:tr>
        <w:trPr>
          <w:cantSplit/>
        </w:trPr>
        <w:tc>
          <w:tcPr>
            <w:tcW w:type="dxa" w:w="2500"/>
            <w:vAlign w:val="top"/>
          </w:tcPr>
          <w:p>
            <w:pPr>
              <w:spacing w:before="0" w:after="20" w:line="264" w:lineRule="auto"/>
            </w:pPr>
            <w:r>
              <w:rPr>
                <w:rFonts w:ascii="Calibri" w:hAnsi="Calibri" w:eastAsia="Calibri"/>
                <w:b w:val="0"/>
                <w:i w:val="0"/>
                <w:color w:val="17212B"/>
                <w:sz w:val="18"/>
              </w:rPr>
              <w:t>4. Partner joins</w:t>
            </w:r>
          </w:p>
        </w:tc>
        <w:tc>
          <w:tcPr>
            <w:tcW w:type="dxa" w:w="6860"/>
            <w:vAlign w:val="top"/>
          </w:tcPr>
          <w:p>
            <w:pPr>
              <w:spacing w:before="0" w:after="20" w:line="264" w:lineRule="auto"/>
            </w:pPr>
            <w:r>
              <w:rPr>
                <w:rFonts w:ascii="Calibri" w:hAnsi="Calibri" w:eastAsia="Calibri"/>
                <w:b w:val="0"/>
                <w:i w:val="0"/>
                <w:color w:val="17212B"/>
                <w:sz w:val="18"/>
              </w:rPr>
              <w:t>Explain sign in or create account, permissions, visibility, and existing-account rules before connection.</w:t>
            </w:r>
          </w:p>
        </w:tc>
      </w:tr>
      <w:tr>
        <w:trPr>
          <w:cantSplit/>
        </w:trPr>
        <w:tc>
          <w:tcPr>
            <w:tcW w:type="dxa" w:w="2500"/>
            <w:vAlign w:val="top"/>
          </w:tcPr>
          <w:p>
            <w:pPr>
              <w:spacing w:before="0" w:after="20" w:line="264" w:lineRule="auto"/>
            </w:pPr>
            <w:r>
              <w:rPr>
                <w:rFonts w:ascii="Calibri" w:hAnsi="Calibri" w:eastAsia="Calibri"/>
                <w:b w:val="0"/>
                <w:i w:val="0"/>
                <w:color w:val="17212B"/>
                <w:sz w:val="18"/>
              </w:rPr>
              <w:t>5. Data is uncertain</w:t>
            </w:r>
          </w:p>
        </w:tc>
        <w:tc>
          <w:tcPr>
            <w:tcW w:type="dxa" w:w="6860"/>
            <w:vAlign w:val="top"/>
          </w:tcPr>
          <w:p>
            <w:pPr>
              <w:spacing w:before="0" w:after="20" w:line="264" w:lineRule="auto"/>
            </w:pPr>
            <w:r>
              <w:rPr>
                <w:rFonts w:ascii="Calibri" w:hAnsi="Calibri" w:eastAsia="Calibri"/>
                <w:b w:val="0"/>
                <w:i w:val="0"/>
                <w:color w:val="17212B"/>
                <w:sz w:val="18"/>
              </w:rPr>
              <w:t>Send only the uncertain field to Needs review, with a rule preview and undo.</w:t>
            </w:r>
          </w:p>
        </w:tc>
      </w:tr>
    </w:tbl>
    <w:p>
      <w:pPr>
        <w:pStyle w:val="Heading2"/>
        <w:keepNext/>
        <w:spacing w:before="240" w:after="80" w:line="264" w:lineRule="auto"/>
      </w:pPr>
      <w:r>
        <w:rPr>
          <w:rFonts w:ascii="Calibri" w:hAnsi="Calibri" w:eastAsia="Calibri"/>
          <w:b/>
          <w:i w:val="0"/>
          <w:color w:val="2E74B5"/>
          <w:sz w:val="26"/>
        </w:rPr>
        <w:t>Default income allocation</w:t>
      </w:r>
    </w:p>
    <w:p>
      <w:pPr>
        <w:spacing w:before="80" w:after="160" w:line="264" w:lineRule="auto"/>
        <w:jc w:val="center"/>
      </w:pPr>
      <w:r>
        <w:rPr>
          <w:rFonts w:ascii="Calibri" w:hAnsi="Calibri" w:eastAsia="Calibri"/>
          <w:b/>
          <w:i w:val="0"/>
          <w:color w:val="082C4C"/>
          <w:sz w:val="24"/>
        </w:rPr>
        <w:t>Allocation to item = received income × item remaining gap ÷ total remaining gaps</w:t>
      </w:r>
    </w:p>
    <w:p>
      <w:pPr>
        <w:spacing w:before="0" w:after="120" w:line="264" w:lineRule="auto"/>
      </w:pPr>
      <w:r>
        <w:rPr>
          <w:rFonts w:ascii="Calibri" w:hAnsi="Calibri" w:eastAsia="Calibri"/>
          <w:b w:val="0"/>
          <w:i w:val="0"/>
          <w:color w:val="17212B"/>
          <w:sz w:val="22"/>
        </w:rPr>
        <w:t>Example: if €10,000 arrives against €17,000 of remaining targets, each target receives 58.8% of its remaining gap. Later income continues filling the gaps. No hidden priority order is created.</w:t>
      </w:r>
    </w:p>
    <w:p>
      <w:pPr>
        <w:pStyle w:val="Heading2"/>
        <w:keepNext/>
        <w:spacing w:before="240" w:after="80" w:line="264" w:lineRule="auto"/>
      </w:pPr>
      <w:r>
        <w:rPr>
          <w:rFonts w:ascii="Calibri" w:hAnsi="Calibri" w:eastAsia="Calibri"/>
          <w:b/>
          <w:i w:val="0"/>
          <w:color w:val="2E74B5"/>
          <w:sz w:val="26"/>
        </w:rPr>
        <w:t>Transfer and card-payment rule</w:t>
      </w:r>
    </w:p>
    <w:p>
      <w:pPr>
        <w:spacing w:before="0" w:after="120" w:line="264" w:lineRule="auto"/>
      </w:pPr>
      <w:r>
        <w:rPr>
          <w:rFonts w:ascii="Calibri" w:hAnsi="Calibri" w:eastAsia="Calibri"/>
          <w:b w:val="0"/>
          <w:i w:val="0"/>
          <w:color w:val="17212B"/>
          <w:sz w:val="22"/>
        </w:rPr>
        <w:t>Card purchases count as spending. Paying the card bill does not count again. Transfers to pension, savings, or investments count as contributions when matched, not as everyday spending.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Traceability  </w:t>
            </w:r>
            <w:r>
              <w:rPr>
                <w:rFonts w:ascii="Calibri" w:hAnsi="Calibri" w:eastAsia="Calibri"/>
                <w:b w:val="0"/>
                <w:i w:val="0"/>
                <w:color w:val="17212B"/>
                <w:sz w:val="21"/>
              </w:rPr>
              <w:t>Every summary amount must open to the transactions or calculations that compose it. Trust is a product feature.</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Recommended Wollie information architecture</w:t>
      </w:r>
    </w:p>
    <w:p>
      <w:pPr>
        <w:spacing w:before="0" w:after="160" w:line="264" w:lineRule="auto"/>
      </w:pPr>
      <w:r>
        <w:rPr>
          <w:rFonts w:ascii="Calibri" w:hAnsi="Calibri" w:eastAsia="Calibri"/>
          <w:b w:val="0"/>
          <w:i w:val="0"/>
          <w:color w:val="082C4C"/>
          <w:sz w:val="24"/>
        </w:rPr>
        <w:t>Keep five primary destinations. Put household, pricing, and settings in secondary navigation.</w:t>
      </w:r>
    </w:p>
    <w:tbl>
      <w:tblPr>
        <w:tblW w:type="dxa" w:w="9360"/>
        <w:jc w:val="left"/>
        <w:tblLayout w:type="fixed"/>
        <w:tblLook w:firstColumn="1" w:firstRow="1" w:lastColumn="0" w:lastRow="0" w:noHBand="0" w:noVBand="1" w:val="04A0"/>
        <w:tblInd w:w="120" w:type="dxa"/>
      </w:tblPr>
      <w:tblGrid>
        <w:gridCol w:w="1700"/>
        <w:gridCol w:w="3000"/>
        <w:gridCol w:w="4660"/>
      </w:tblGrid>
      <w:tr>
        <w:trPr>
          <w:cantSplit/>
          <w:tblHeader w:val="true"/>
        </w:trPr>
        <w:tc>
          <w:tcPr>
            <w:tcW w:type="dxa" w:w="17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DESTINATION</w:t>
            </w:r>
          </w:p>
        </w:tc>
        <w:tc>
          <w:tcPr>
            <w:tcW w:type="dxa" w:w="30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PRIMARY QUESTION</w:t>
            </w:r>
          </w:p>
        </w:tc>
        <w:tc>
          <w:tcPr>
            <w:tcW w:type="dxa" w:w="466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CORE CONTENT</w:t>
            </w:r>
          </w:p>
        </w:tc>
      </w:tr>
      <w:tr>
        <w:trPr>
          <w:cantSplit/>
        </w:trPr>
        <w:tc>
          <w:tcPr>
            <w:tcW w:type="dxa" w:w="1700"/>
            <w:vAlign w:val="top"/>
          </w:tcPr>
          <w:p>
            <w:pPr>
              <w:spacing w:before="0" w:after="20" w:line="264" w:lineRule="auto"/>
            </w:pPr>
            <w:r>
              <w:rPr>
                <w:rFonts w:ascii="Calibri" w:hAnsi="Calibri" w:eastAsia="Calibri"/>
                <w:b w:val="0"/>
                <w:i w:val="0"/>
                <w:color w:val="17212B"/>
                <w:sz w:val="18"/>
              </w:rPr>
              <w:t>Overview</w:t>
            </w:r>
          </w:p>
        </w:tc>
        <w:tc>
          <w:tcPr>
            <w:tcW w:type="dxa" w:w="3000"/>
            <w:vAlign w:val="top"/>
          </w:tcPr>
          <w:p>
            <w:pPr>
              <w:spacing w:before="0" w:after="20" w:line="264" w:lineRule="auto"/>
            </w:pPr>
            <w:r>
              <w:rPr>
                <w:rFonts w:ascii="Calibri" w:hAnsi="Calibri" w:eastAsia="Calibri"/>
                <w:b w:val="0"/>
                <w:i w:val="0"/>
                <w:color w:val="17212B"/>
                <w:sz w:val="18"/>
              </w:rPr>
              <w:t>Where do we stand?</w:t>
            </w:r>
          </w:p>
        </w:tc>
        <w:tc>
          <w:tcPr>
            <w:tcW w:type="dxa" w:w="4660"/>
            <w:vAlign w:val="top"/>
          </w:tcPr>
          <w:p>
            <w:pPr>
              <w:spacing w:before="0" w:after="20" w:line="264" w:lineRule="auto"/>
            </w:pPr>
            <w:r>
              <w:rPr>
                <w:rFonts w:ascii="Calibri" w:hAnsi="Calibri" w:eastAsia="Calibri"/>
                <w:b w:val="0"/>
                <w:i w:val="0"/>
                <w:color w:val="17212B"/>
                <w:sz w:val="18"/>
              </w:rPr>
              <w:t>Income received, everyday spending left, saved/invested, needs review, upcoming exceptions</w:t>
            </w:r>
          </w:p>
        </w:tc>
      </w:tr>
      <w:tr>
        <w:trPr>
          <w:cantSplit/>
        </w:trPr>
        <w:tc>
          <w:tcPr>
            <w:tcW w:type="dxa" w:w="1700"/>
            <w:vAlign w:val="top"/>
          </w:tcPr>
          <w:p>
            <w:pPr>
              <w:spacing w:before="0" w:after="20" w:line="264" w:lineRule="auto"/>
            </w:pPr>
            <w:r>
              <w:rPr>
                <w:rFonts w:ascii="Calibri" w:hAnsi="Calibri" w:eastAsia="Calibri"/>
                <w:b w:val="0"/>
                <w:i w:val="0"/>
                <w:color w:val="17212B"/>
                <w:sz w:val="18"/>
              </w:rPr>
              <w:t>Transactions</w:t>
            </w:r>
          </w:p>
        </w:tc>
        <w:tc>
          <w:tcPr>
            <w:tcW w:type="dxa" w:w="3000"/>
            <w:vAlign w:val="top"/>
          </w:tcPr>
          <w:p>
            <w:pPr>
              <w:spacing w:before="0" w:after="20" w:line="264" w:lineRule="auto"/>
            </w:pPr>
            <w:r>
              <w:rPr>
                <w:rFonts w:ascii="Calibri" w:hAnsi="Calibri" w:eastAsia="Calibri"/>
                <w:b w:val="0"/>
                <w:i w:val="0"/>
                <w:color w:val="17212B"/>
                <w:sz w:val="18"/>
              </w:rPr>
              <w:t>What happened?</w:t>
            </w:r>
          </w:p>
        </w:tc>
        <w:tc>
          <w:tcPr>
            <w:tcW w:type="dxa" w:w="4660"/>
            <w:vAlign w:val="top"/>
          </w:tcPr>
          <w:p>
            <w:pPr>
              <w:spacing w:before="0" w:after="20" w:line="264" w:lineRule="auto"/>
            </w:pPr>
            <w:r>
              <w:rPr>
                <w:rFonts w:ascii="Calibri" w:hAnsi="Calibri" w:eastAsia="Calibri"/>
                <w:b w:val="0"/>
                <w:i w:val="0"/>
                <w:color w:val="17212B"/>
                <w:sz w:val="18"/>
              </w:rPr>
              <w:t>Merchant, amount, category, account, status, attribution, category totals</w:t>
            </w:r>
          </w:p>
        </w:tc>
      </w:tr>
      <w:tr>
        <w:trPr>
          <w:cantSplit/>
        </w:trPr>
        <w:tc>
          <w:tcPr>
            <w:tcW w:type="dxa" w:w="1700"/>
            <w:vAlign w:val="top"/>
          </w:tcPr>
          <w:p>
            <w:pPr>
              <w:spacing w:before="0" w:after="20" w:line="264" w:lineRule="auto"/>
            </w:pPr>
            <w:r>
              <w:rPr>
                <w:rFonts w:ascii="Calibri" w:hAnsi="Calibri" w:eastAsia="Calibri"/>
                <w:b w:val="0"/>
                <w:i w:val="0"/>
                <w:color w:val="17212B"/>
                <w:sz w:val="18"/>
              </w:rPr>
              <w:t>Money plan</w:t>
            </w:r>
          </w:p>
        </w:tc>
        <w:tc>
          <w:tcPr>
            <w:tcW w:type="dxa" w:w="3000"/>
            <w:vAlign w:val="top"/>
          </w:tcPr>
          <w:p>
            <w:pPr>
              <w:spacing w:before="0" w:after="20" w:line="264" w:lineRule="auto"/>
            </w:pPr>
            <w:r>
              <w:rPr>
                <w:rFonts w:ascii="Calibri" w:hAnsi="Calibri" w:eastAsia="Calibri"/>
                <w:b w:val="0"/>
                <w:i w:val="0"/>
                <w:color w:val="17212B"/>
                <w:sz w:val="18"/>
              </w:rPr>
              <w:t>What should this month's money do?</w:t>
            </w:r>
          </w:p>
        </w:tc>
        <w:tc>
          <w:tcPr>
            <w:tcW w:type="dxa" w:w="4660"/>
            <w:vAlign w:val="top"/>
          </w:tcPr>
          <w:p>
            <w:pPr>
              <w:spacing w:before="0" w:after="20" w:line="264" w:lineRule="auto"/>
            </w:pPr>
            <w:r>
              <w:rPr>
                <w:rFonts w:ascii="Calibri" w:hAnsi="Calibri" w:eastAsia="Calibri"/>
                <w:b w:val="0"/>
                <w:i w:val="0"/>
                <w:color w:val="17212B"/>
                <w:sz w:val="18"/>
              </w:rPr>
              <w:t>Tabs: Spending this month; Savings &amp; reserves</w:t>
            </w:r>
          </w:p>
        </w:tc>
      </w:tr>
      <w:tr>
        <w:trPr>
          <w:cantSplit/>
        </w:trPr>
        <w:tc>
          <w:tcPr>
            <w:tcW w:type="dxa" w:w="1700"/>
            <w:vAlign w:val="top"/>
          </w:tcPr>
          <w:p>
            <w:pPr>
              <w:spacing w:before="0" w:after="20" w:line="264" w:lineRule="auto"/>
            </w:pPr>
            <w:r>
              <w:rPr>
                <w:rFonts w:ascii="Calibri" w:hAnsi="Calibri" w:eastAsia="Calibri"/>
                <w:b w:val="0"/>
                <w:i w:val="0"/>
                <w:color w:val="17212B"/>
                <w:sz w:val="18"/>
              </w:rPr>
              <w:t>Recurring</w:t>
            </w:r>
          </w:p>
        </w:tc>
        <w:tc>
          <w:tcPr>
            <w:tcW w:type="dxa" w:w="3000"/>
            <w:vAlign w:val="top"/>
          </w:tcPr>
          <w:p>
            <w:pPr>
              <w:spacing w:before="0" w:after="20" w:line="264" w:lineRule="auto"/>
            </w:pPr>
            <w:r>
              <w:rPr>
                <w:rFonts w:ascii="Calibri" w:hAnsi="Calibri" w:eastAsia="Calibri"/>
                <w:b w:val="0"/>
                <w:i w:val="0"/>
                <w:color w:val="17212B"/>
                <w:sz w:val="18"/>
              </w:rPr>
              <w:t>What is expected next?</w:t>
            </w:r>
          </w:p>
        </w:tc>
        <w:tc>
          <w:tcPr>
            <w:tcW w:type="dxa" w:w="4660"/>
            <w:vAlign w:val="top"/>
          </w:tcPr>
          <w:p>
            <w:pPr>
              <w:spacing w:before="0" w:after="20" w:line="264" w:lineRule="auto"/>
            </w:pPr>
            <w:r>
              <w:rPr>
                <w:rFonts w:ascii="Calibri" w:hAnsi="Calibri" w:eastAsia="Calibri"/>
                <w:b w:val="0"/>
                <w:i w:val="0"/>
                <w:color w:val="17212B"/>
                <w:sz w:val="18"/>
              </w:rPr>
              <w:t>Expected date/amount, status, confidence, supporting transactions</w:t>
            </w:r>
          </w:p>
        </w:tc>
      </w:tr>
      <w:tr>
        <w:trPr>
          <w:cantSplit/>
        </w:trPr>
        <w:tc>
          <w:tcPr>
            <w:tcW w:type="dxa" w:w="1700"/>
            <w:vAlign w:val="top"/>
          </w:tcPr>
          <w:p>
            <w:pPr>
              <w:spacing w:before="0" w:after="20" w:line="264" w:lineRule="auto"/>
            </w:pPr>
            <w:r>
              <w:rPr>
                <w:rFonts w:ascii="Calibri" w:hAnsi="Calibri" w:eastAsia="Calibri"/>
                <w:b w:val="0"/>
                <w:i w:val="0"/>
                <w:color w:val="17212B"/>
                <w:sz w:val="18"/>
              </w:rPr>
              <w:t>Accounts</w:t>
            </w:r>
          </w:p>
        </w:tc>
        <w:tc>
          <w:tcPr>
            <w:tcW w:type="dxa" w:w="3000"/>
            <w:vAlign w:val="top"/>
          </w:tcPr>
          <w:p>
            <w:pPr>
              <w:spacing w:before="0" w:after="20" w:line="264" w:lineRule="auto"/>
            </w:pPr>
            <w:r>
              <w:rPr>
                <w:rFonts w:ascii="Calibri" w:hAnsi="Calibri" w:eastAsia="Calibri"/>
                <w:b w:val="0"/>
                <w:i w:val="0"/>
                <w:color w:val="17212B"/>
                <w:sz w:val="18"/>
              </w:rPr>
              <w:t>Where does the money live?</w:t>
            </w:r>
          </w:p>
        </w:tc>
        <w:tc>
          <w:tcPr>
            <w:tcW w:type="dxa" w:w="4660"/>
            <w:vAlign w:val="top"/>
          </w:tcPr>
          <w:p>
            <w:pPr>
              <w:spacing w:before="0" w:after="20" w:line="264" w:lineRule="auto"/>
            </w:pPr>
            <w:r>
              <w:rPr>
                <w:rFonts w:ascii="Calibri" w:hAnsi="Calibri" w:eastAsia="Calibri"/>
                <w:b w:val="0"/>
                <w:i w:val="0"/>
                <w:color w:val="17212B"/>
                <w:sz w:val="18"/>
              </w:rPr>
              <w:t>Institution, owner, visibility, balance, sync time, connection health</w:t>
            </w:r>
          </w:p>
        </w:tc>
      </w:tr>
    </w:tbl>
    <w:p>
      <w:pPr>
        <w:pStyle w:val="Heading2"/>
        <w:keepNext/>
        <w:spacing w:before="240" w:after="80" w:line="264" w:lineRule="auto"/>
      </w:pPr>
      <w:r>
        <w:rPr>
          <w:rFonts w:ascii="Calibri" w:hAnsi="Calibri" w:eastAsia="Calibri"/>
          <w:b/>
          <w:i w:val="0"/>
          <w:color w:val="2E74B5"/>
          <w:sz w:val="26"/>
        </w:rPr>
        <w:t>Overview limit</w:t>
      </w:r>
    </w:p>
    <w:p>
      <w:pPr>
        <w:spacing w:before="0" w:after="120" w:line="264" w:lineRule="auto"/>
      </w:pPr>
      <w:r>
        <w:rPr>
          <w:rFonts w:ascii="Calibri" w:hAnsi="Calibri" w:eastAsia="Calibri"/>
          <w:b w:val="0"/>
          <w:i w:val="0"/>
          <w:color w:val="17212B"/>
          <w:sz w:val="22"/>
        </w:rPr>
        <w:t>Use no more than four top-level facts. Suggested default: Income received, Everyday spending left, Saved or invested, and Needs review. Assigned or set aside totals belong inside Money plan unless they answer an immediate decision.</w:t>
      </w:r>
    </w:p>
    <w:p>
      <w:pPr>
        <w:pStyle w:val="Heading2"/>
        <w:keepNext/>
        <w:spacing w:before="240" w:after="80" w:line="264" w:lineRule="auto"/>
      </w:pPr>
      <w:r>
        <w:rPr>
          <w:rFonts w:ascii="Calibri" w:hAnsi="Calibri" w:eastAsia="Calibri"/>
          <w:b/>
          <w:i w:val="0"/>
          <w:color w:val="2E74B5"/>
          <w:sz w:val="26"/>
        </w:rPr>
        <w:t>Transaction list rule</w:t>
      </w:r>
    </w:p>
    <w:p>
      <w:pPr>
        <w:spacing w:before="0" w:after="120" w:line="264" w:lineRule="auto"/>
      </w:pPr>
      <w:r>
        <w:rPr>
          <w:rFonts w:ascii="Calibri" w:hAnsi="Calibri" w:eastAsia="Calibri"/>
          <w:b w:val="0"/>
          <w:i w:val="0"/>
          <w:color w:val="17212B"/>
          <w:sz w:val="22"/>
        </w:rPr>
        <w:t>Do not repeat a full envelope sentence under every transaction. Show a category chip in the list. Put the detailed plan effect in transaction detail.</w:t>
      </w:r>
    </w:p>
    <w:p>
      <w:pPr>
        <w:pStyle w:val="Heading2"/>
        <w:keepNext/>
        <w:spacing w:before="240" w:after="80" w:line="264" w:lineRule="auto"/>
      </w:pPr>
      <w:r>
        <w:rPr>
          <w:rFonts w:ascii="Calibri" w:hAnsi="Calibri" w:eastAsia="Calibri"/>
          <w:b/>
          <w:i w:val="0"/>
          <w:color w:val="2E74B5"/>
          <w:sz w:val="26"/>
        </w:rPr>
        <w:t>Bills versus Money plan</w:t>
      </w:r>
    </w:p>
    <w:p>
      <w:pPr>
        <w:spacing w:before="0" w:after="120" w:line="264" w:lineRule="auto"/>
      </w:pPr>
      <w:r>
        <w:rPr>
          <w:rFonts w:ascii="Calibri" w:hAnsi="Calibri" w:eastAsia="Calibri"/>
          <w:b w:val="0"/>
          <w:i w:val="0"/>
          <w:color w:val="17212B"/>
          <w:sz w:val="22"/>
        </w:rPr>
        <w:t>Recurring is a forecast of expected transactions. Money plan is the allowance or reserve. Rent may exist in both without duplication because one answers when payment is expected and the other answers how much is available.</w:t>
      </w:r>
    </w:p>
    <w:p>
      <w:r>
        <w:br w:type="page"/>
      </w:r>
    </w:p>
    <w:p>
      <w:pPr>
        <w:pStyle w:val="Heading1"/>
        <w:keepNext/>
        <w:spacing w:before="0" w:after="80" w:line="264" w:lineRule="auto"/>
      </w:pPr>
      <w:r>
        <w:rPr>
          <w:rFonts w:ascii="Calibri" w:hAnsi="Calibri" w:eastAsia="Calibri"/>
          <w:b/>
          <w:i w:val="0"/>
          <w:color w:val="2E74B5"/>
          <w:sz w:val="32"/>
        </w:rPr>
        <w:t>Visual and interaction principles</w:t>
      </w:r>
    </w:p>
    <w:p>
      <w:pPr>
        <w:pStyle w:val="Heading2"/>
        <w:keepNext/>
        <w:spacing w:before="240" w:after="80" w:line="264" w:lineRule="auto"/>
      </w:pPr>
      <w:r>
        <w:rPr>
          <w:rFonts w:ascii="Calibri" w:hAnsi="Calibri" w:eastAsia="Calibri"/>
          <w:b/>
          <w:i w:val="0"/>
          <w:color w:val="2E74B5"/>
          <w:sz w:val="26"/>
        </w:rPr>
        <w:t>One colour, one meaning</w:t>
      </w:r>
    </w:p>
    <w:tbl>
      <w:tblPr>
        <w:tblW w:type="dxa" w:w="9360"/>
        <w:jc w:val="left"/>
        <w:tblLayout w:type="fixed"/>
        <w:tblLook w:firstColumn="1" w:firstRow="1" w:lastColumn="0" w:lastRow="0" w:noHBand="0" w:noVBand="1" w:val="04A0"/>
        <w:tblInd w:w="120" w:type="dxa"/>
      </w:tblPr>
      <w:tblGrid>
        <w:gridCol w:w="1500"/>
        <w:gridCol w:w="2500"/>
        <w:gridCol w:w="5360"/>
      </w:tblGrid>
      <w:tr>
        <w:trPr>
          <w:cantSplit/>
          <w:tblHeader w:val="true"/>
        </w:trPr>
        <w:tc>
          <w:tcPr>
            <w:tcW w:type="dxa" w:w="15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COLOUR</w:t>
            </w:r>
          </w:p>
        </w:tc>
        <w:tc>
          <w:tcPr>
            <w:tcW w:type="dxa" w:w="25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MEANING</w:t>
            </w:r>
          </w:p>
        </w:tc>
        <w:tc>
          <w:tcPr>
            <w:tcW w:type="dxa" w:w="536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USE</w:t>
            </w:r>
          </w:p>
        </w:tc>
      </w:tr>
      <w:tr>
        <w:trPr>
          <w:cantSplit/>
        </w:trPr>
        <w:tc>
          <w:tcPr>
            <w:tcW w:type="dxa" w:w="1500"/>
            <w:vAlign w:val="top"/>
          </w:tcPr>
          <w:p>
            <w:pPr>
              <w:spacing w:before="0" w:after="20" w:line="264" w:lineRule="auto"/>
            </w:pPr>
            <w:r>
              <w:rPr>
                <w:rFonts w:ascii="Calibri" w:hAnsi="Calibri" w:eastAsia="Calibri"/>
                <w:b w:val="0"/>
                <w:i w:val="0"/>
                <w:color w:val="17212B"/>
                <w:sz w:val="18"/>
              </w:rPr>
              <w:t>Navy</w:t>
            </w:r>
          </w:p>
        </w:tc>
        <w:tc>
          <w:tcPr>
            <w:tcW w:type="dxa" w:w="2500"/>
            <w:vAlign w:val="top"/>
          </w:tcPr>
          <w:p>
            <w:pPr>
              <w:spacing w:before="0" w:after="20" w:line="264" w:lineRule="auto"/>
            </w:pPr>
            <w:r>
              <w:rPr>
                <w:rFonts w:ascii="Calibri" w:hAnsi="Calibri" w:eastAsia="Calibri"/>
                <w:b w:val="0"/>
                <w:i w:val="0"/>
                <w:color w:val="17212B"/>
                <w:sz w:val="18"/>
              </w:rPr>
              <w:t>Stable information</w:t>
            </w:r>
          </w:p>
        </w:tc>
        <w:tc>
          <w:tcPr>
            <w:tcW w:type="dxa" w:w="5360"/>
            <w:vAlign w:val="top"/>
          </w:tcPr>
          <w:p>
            <w:pPr>
              <w:spacing w:before="0" w:after="20" w:line="264" w:lineRule="auto"/>
            </w:pPr>
            <w:r>
              <w:rPr>
                <w:rFonts w:ascii="Calibri" w:hAnsi="Calibri" w:eastAsia="Calibri"/>
                <w:b w:val="0"/>
                <w:i w:val="0"/>
                <w:color w:val="17212B"/>
                <w:sz w:val="18"/>
              </w:rPr>
              <w:t>Navigation, major totals, identity</w:t>
            </w:r>
          </w:p>
        </w:tc>
      </w:tr>
      <w:tr>
        <w:trPr>
          <w:cantSplit/>
        </w:trPr>
        <w:tc>
          <w:tcPr>
            <w:tcW w:type="dxa" w:w="1500"/>
            <w:vAlign w:val="top"/>
          </w:tcPr>
          <w:p>
            <w:pPr>
              <w:spacing w:before="0" w:after="20" w:line="264" w:lineRule="auto"/>
            </w:pPr>
            <w:r>
              <w:rPr>
                <w:rFonts w:ascii="Calibri" w:hAnsi="Calibri" w:eastAsia="Calibri"/>
                <w:b w:val="0"/>
                <w:i w:val="0"/>
                <w:color w:val="17212B"/>
                <w:sz w:val="18"/>
              </w:rPr>
              <w:t>Green</w:t>
            </w:r>
          </w:p>
        </w:tc>
        <w:tc>
          <w:tcPr>
            <w:tcW w:type="dxa" w:w="2500"/>
            <w:vAlign w:val="top"/>
          </w:tcPr>
          <w:p>
            <w:pPr>
              <w:spacing w:before="0" w:after="20" w:line="264" w:lineRule="auto"/>
            </w:pPr>
            <w:r>
              <w:rPr>
                <w:rFonts w:ascii="Calibri" w:hAnsi="Calibri" w:eastAsia="Calibri"/>
                <w:b w:val="0"/>
                <w:i w:val="0"/>
                <w:color w:val="17212B"/>
                <w:sz w:val="18"/>
              </w:rPr>
              <w:t>Healthy actual progress</w:t>
            </w:r>
          </w:p>
        </w:tc>
        <w:tc>
          <w:tcPr>
            <w:tcW w:type="dxa" w:w="5360"/>
            <w:vAlign w:val="top"/>
          </w:tcPr>
          <w:p>
            <w:pPr>
              <w:spacing w:before="0" w:after="20" w:line="264" w:lineRule="auto"/>
            </w:pPr>
            <w:r>
              <w:rPr>
                <w:rFonts w:ascii="Calibri" w:hAnsi="Calibri" w:eastAsia="Calibri"/>
                <w:b w:val="0"/>
                <w:i w:val="0"/>
                <w:color w:val="17212B"/>
                <w:sz w:val="18"/>
              </w:rPr>
              <w:t>Confirmed contribution or completed target</w:t>
            </w:r>
          </w:p>
        </w:tc>
      </w:tr>
      <w:tr>
        <w:trPr>
          <w:cantSplit/>
        </w:trPr>
        <w:tc>
          <w:tcPr>
            <w:tcW w:type="dxa" w:w="1500"/>
            <w:vAlign w:val="top"/>
          </w:tcPr>
          <w:p>
            <w:pPr>
              <w:spacing w:before="0" w:after="20" w:line="264" w:lineRule="auto"/>
            </w:pPr>
            <w:r>
              <w:rPr>
                <w:rFonts w:ascii="Calibri" w:hAnsi="Calibri" w:eastAsia="Calibri"/>
                <w:b w:val="0"/>
                <w:i w:val="0"/>
                <w:color w:val="17212B"/>
                <w:sz w:val="18"/>
              </w:rPr>
              <w:t>Amber</w:t>
            </w:r>
          </w:p>
        </w:tc>
        <w:tc>
          <w:tcPr>
            <w:tcW w:type="dxa" w:w="2500"/>
            <w:vAlign w:val="top"/>
          </w:tcPr>
          <w:p>
            <w:pPr>
              <w:spacing w:before="0" w:after="20" w:line="264" w:lineRule="auto"/>
            </w:pPr>
            <w:r>
              <w:rPr>
                <w:rFonts w:ascii="Calibri" w:hAnsi="Calibri" w:eastAsia="Calibri"/>
                <w:b w:val="0"/>
                <w:i w:val="0"/>
                <w:color w:val="17212B"/>
                <w:sz w:val="18"/>
              </w:rPr>
              <w:t>Attention soon</w:t>
            </w:r>
          </w:p>
        </w:tc>
        <w:tc>
          <w:tcPr>
            <w:tcW w:type="dxa" w:w="5360"/>
            <w:vAlign w:val="top"/>
          </w:tcPr>
          <w:p>
            <w:pPr>
              <w:spacing w:before="0" w:after="20" w:line="264" w:lineRule="auto"/>
            </w:pPr>
            <w:r>
              <w:rPr>
                <w:rFonts w:ascii="Calibri" w:hAnsi="Calibri" w:eastAsia="Calibri"/>
                <w:b w:val="0"/>
                <w:i w:val="0"/>
                <w:color w:val="17212B"/>
                <w:sz w:val="18"/>
              </w:rPr>
              <w:t>Near spending limit, due item, review warning</w:t>
            </w:r>
          </w:p>
        </w:tc>
      </w:tr>
      <w:tr>
        <w:trPr>
          <w:cantSplit/>
        </w:trPr>
        <w:tc>
          <w:tcPr>
            <w:tcW w:type="dxa" w:w="1500"/>
            <w:vAlign w:val="top"/>
          </w:tcPr>
          <w:p>
            <w:pPr>
              <w:spacing w:before="0" w:after="20" w:line="264" w:lineRule="auto"/>
            </w:pPr>
            <w:r>
              <w:rPr>
                <w:rFonts w:ascii="Calibri" w:hAnsi="Calibri" w:eastAsia="Calibri"/>
                <w:b w:val="0"/>
                <w:i w:val="0"/>
                <w:color w:val="17212B"/>
                <w:sz w:val="18"/>
              </w:rPr>
              <w:t>Red</w:t>
            </w:r>
          </w:p>
        </w:tc>
        <w:tc>
          <w:tcPr>
            <w:tcW w:type="dxa" w:w="2500"/>
            <w:vAlign w:val="top"/>
          </w:tcPr>
          <w:p>
            <w:pPr>
              <w:spacing w:before="0" w:after="20" w:line="264" w:lineRule="auto"/>
            </w:pPr>
            <w:r>
              <w:rPr>
                <w:rFonts w:ascii="Calibri" w:hAnsi="Calibri" w:eastAsia="Calibri"/>
                <w:b w:val="0"/>
                <w:i w:val="0"/>
                <w:color w:val="17212B"/>
                <w:sz w:val="18"/>
              </w:rPr>
              <w:t>Real problem</w:t>
            </w:r>
          </w:p>
        </w:tc>
        <w:tc>
          <w:tcPr>
            <w:tcW w:type="dxa" w:w="5360"/>
            <w:vAlign w:val="top"/>
          </w:tcPr>
          <w:p>
            <w:pPr>
              <w:spacing w:before="0" w:after="20" w:line="264" w:lineRule="auto"/>
            </w:pPr>
            <w:r>
              <w:rPr>
                <w:rFonts w:ascii="Calibri" w:hAnsi="Calibri" w:eastAsia="Calibri"/>
                <w:b w:val="0"/>
                <w:i w:val="0"/>
                <w:color w:val="17212B"/>
                <w:sz w:val="18"/>
              </w:rPr>
              <w:t>Overspending, failed sync/payment, overdue required reserve</w:t>
            </w:r>
          </w:p>
        </w:tc>
      </w:tr>
      <w:tr>
        <w:trPr>
          <w:cantSplit/>
        </w:trPr>
        <w:tc>
          <w:tcPr>
            <w:tcW w:type="dxa" w:w="1500"/>
            <w:vAlign w:val="top"/>
          </w:tcPr>
          <w:p>
            <w:pPr>
              <w:spacing w:before="0" w:after="20" w:line="264" w:lineRule="auto"/>
            </w:pPr>
            <w:r>
              <w:rPr>
                <w:rFonts w:ascii="Calibri" w:hAnsi="Calibri" w:eastAsia="Calibri"/>
                <w:b w:val="0"/>
                <w:i w:val="0"/>
                <w:color w:val="17212B"/>
                <w:sz w:val="18"/>
              </w:rPr>
              <w:t>Grey</w:t>
            </w:r>
          </w:p>
        </w:tc>
        <w:tc>
          <w:tcPr>
            <w:tcW w:type="dxa" w:w="2500"/>
            <w:vAlign w:val="top"/>
          </w:tcPr>
          <w:p>
            <w:pPr>
              <w:spacing w:before="0" w:after="20" w:line="264" w:lineRule="auto"/>
            </w:pPr>
            <w:r>
              <w:rPr>
                <w:rFonts w:ascii="Calibri" w:hAnsi="Calibri" w:eastAsia="Calibri"/>
                <w:b w:val="0"/>
                <w:i w:val="0"/>
                <w:color w:val="17212B"/>
                <w:sz w:val="18"/>
              </w:rPr>
              <w:t>Neutral progress</w:t>
            </w:r>
          </w:p>
        </w:tc>
        <w:tc>
          <w:tcPr>
            <w:tcW w:type="dxa" w:w="5360"/>
            <w:vAlign w:val="top"/>
          </w:tcPr>
          <w:p>
            <w:pPr>
              <w:spacing w:before="0" w:after="20" w:line="264" w:lineRule="auto"/>
            </w:pPr>
            <w:r>
              <w:rPr>
                <w:rFonts w:ascii="Calibri" w:hAnsi="Calibri" w:eastAsia="Calibri"/>
                <w:b w:val="0"/>
                <w:i w:val="0"/>
                <w:color w:val="17212B"/>
                <w:sz w:val="18"/>
              </w:rPr>
              <w:t>Target still filling, inactive, informational</w:t>
            </w:r>
          </w:p>
        </w:tc>
      </w:tr>
    </w:tbl>
    <w:p>
      <w:pPr>
        <w:pStyle w:val="Heading2"/>
        <w:keepNext/>
        <w:spacing w:before="240" w:after="80" w:line="264" w:lineRule="auto"/>
      </w:pPr>
      <w:r>
        <w:rPr>
          <w:rFonts w:ascii="Calibri" w:hAnsi="Calibri" w:eastAsia="Calibri"/>
          <w:b/>
          <w:i w:val="0"/>
          <w:color w:val="2E74B5"/>
          <w:sz w:val="26"/>
        </w:rPr>
        <w:t>Progressive disclosure</w:t>
      </w:r>
    </w:p>
    <w:p>
      <w:pPr>
        <w:pStyle w:val="ListBullet"/>
        <w:spacing w:before="0" w:after="40" w:line="264" w:lineRule="auto"/>
      </w:pPr>
      <w:r>
        <w:rPr>
          <w:rFonts w:ascii="Calibri" w:hAnsi="Calibri" w:eastAsia="Calibri"/>
          <w:b w:val="0"/>
          <w:i w:val="0"/>
          <w:color w:val="17212B"/>
          <w:sz w:val="21"/>
        </w:rPr>
        <w:t>List view answers what happened.</w:t>
      </w:r>
    </w:p>
    <w:p>
      <w:pPr>
        <w:pStyle w:val="ListBullet"/>
        <w:spacing w:before="0" w:after="40" w:line="264" w:lineRule="auto"/>
      </w:pPr>
      <w:r>
        <w:rPr>
          <w:rFonts w:ascii="Calibri" w:hAnsi="Calibri" w:eastAsia="Calibri"/>
          <w:b w:val="0"/>
          <w:i w:val="0"/>
          <w:color w:val="17212B"/>
          <w:sz w:val="21"/>
        </w:rPr>
        <w:t>Detail view answers why, who, and how it affected the plan.</w:t>
      </w:r>
    </w:p>
    <w:p>
      <w:pPr>
        <w:pStyle w:val="ListBullet"/>
        <w:spacing w:before="0" w:after="40" w:line="264" w:lineRule="auto"/>
      </w:pPr>
      <w:r>
        <w:rPr>
          <w:rFonts w:ascii="Calibri" w:hAnsi="Calibri" w:eastAsia="Calibri"/>
          <w:b w:val="0"/>
          <w:i w:val="0"/>
          <w:color w:val="17212B"/>
          <w:sz w:val="21"/>
        </w:rPr>
        <w:t>Settings answer what should happen next time.</w:t>
      </w:r>
    </w:p>
    <w:p>
      <w:pPr>
        <w:pStyle w:val="ListBullet"/>
        <w:spacing w:before="0" w:after="40" w:line="264" w:lineRule="auto"/>
      </w:pPr>
      <w:r>
        <w:rPr>
          <w:rFonts w:ascii="Calibri" w:hAnsi="Calibri" w:eastAsia="Calibri"/>
          <w:b w:val="0"/>
          <w:i w:val="0"/>
          <w:color w:val="17212B"/>
          <w:sz w:val="21"/>
        </w:rPr>
        <w:t>Do not place all three layers in one row or card.</w:t>
      </w:r>
    </w:p>
    <w:p>
      <w:pPr>
        <w:pStyle w:val="Heading2"/>
        <w:keepNext/>
        <w:spacing w:before="240" w:after="80" w:line="264" w:lineRule="auto"/>
      </w:pPr>
      <w:r>
        <w:rPr>
          <w:rFonts w:ascii="Calibri" w:hAnsi="Calibri" w:eastAsia="Calibri"/>
          <w:b/>
          <w:i w:val="0"/>
          <w:color w:val="2E74B5"/>
          <w:sz w:val="26"/>
        </w:rPr>
        <w:t>Design synthesis</w:t>
      </w:r>
    </w:p>
    <w:p>
      <w:pPr>
        <w:spacing w:before="0" w:after="120" w:line="264" w:lineRule="auto"/>
      </w:pPr>
      <w:r>
        <w:rPr>
          <w:rFonts w:ascii="Calibri" w:hAnsi="Calibri" w:eastAsia="Calibri"/>
          <w:b w:val="0"/>
          <w:i w:val="0"/>
          <w:color w:val="17212B"/>
          <w:sz w:val="22"/>
        </w:rPr>
        <w:t>Use Wise's calm hierarchy as the baseline. Add Revolut's immediacy only at moments of action. Add Monarch's density only after the user asks for analysis. Keep Wollie's warm illustration and couples identity outside high-stakes numeric surfaces.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The test  </w:t>
            </w:r>
            <w:r>
              <w:rPr>
                <w:rFonts w:ascii="Calibri" w:hAnsi="Calibri" w:eastAsia="Calibri"/>
                <w:b w:val="0"/>
                <w:i w:val="0"/>
                <w:color w:val="17212B"/>
                <w:sz w:val="21"/>
              </w:rPr>
              <w:t>A user should be able to explain any number in one sentence, then open it and see the exact inputs.</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Recommended product decisions</w:t>
      </w:r>
    </w:p>
    <w:p>
      <w:pPr>
        <w:pStyle w:val="Heading2"/>
        <w:keepNext/>
        <w:spacing w:before="240" w:after="80" w:line="264" w:lineRule="auto"/>
      </w:pPr>
      <w:r>
        <w:rPr>
          <w:rFonts w:ascii="Calibri" w:hAnsi="Calibri" w:eastAsia="Calibri"/>
          <w:b/>
          <w:i w:val="0"/>
          <w:color w:val="2E74B5"/>
          <w:sz w:val="26"/>
        </w:rPr>
        <w:t>Build now</w:t>
      </w:r>
    </w:p>
    <w:p>
      <w:pPr>
        <w:pStyle w:val="ListNumber"/>
        <w:spacing w:before="0" w:after="40" w:line="264" w:lineRule="auto"/>
      </w:pPr>
      <w:r>
        <w:rPr>
          <w:rFonts w:ascii="Calibri" w:hAnsi="Calibri" w:eastAsia="Calibri"/>
          <w:b w:val="0"/>
          <w:i w:val="0"/>
          <w:color w:val="17212B"/>
          <w:sz w:val="21"/>
        </w:rPr>
        <w:t>Household Overview with traceable totals.</w:t>
      </w:r>
    </w:p>
    <w:p>
      <w:pPr>
        <w:pStyle w:val="ListNumber"/>
        <w:spacing w:before="0" w:after="40" w:line="264" w:lineRule="auto"/>
      </w:pPr>
      <w:r>
        <w:rPr>
          <w:rFonts w:ascii="Calibri" w:hAnsi="Calibri" w:eastAsia="Calibri"/>
          <w:b w:val="0"/>
          <w:i w:val="0"/>
          <w:color w:val="17212B"/>
          <w:sz w:val="21"/>
        </w:rPr>
        <w:t>Transactions with totals, categories, Needs review, and simple rules.</w:t>
      </w:r>
    </w:p>
    <w:p>
      <w:pPr>
        <w:pStyle w:val="ListNumber"/>
        <w:spacing w:before="0" w:after="40" w:line="264" w:lineRule="auto"/>
      </w:pPr>
      <w:r>
        <w:rPr>
          <w:rFonts w:ascii="Calibri" w:hAnsi="Calibri" w:eastAsia="Calibri"/>
          <w:b w:val="0"/>
          <w:i w:val="0"/>
          <w:color w:val="17212B"/>
          <w:sz w:val="21"/>
        </w:rPr>
        <w:t>Money plan tabs for Spending this month and Savings &amp; reserves.</w:t>
      </w:r>
    </w:p>
    <w:p>
      <w:pPr>
        <w:pStyle w:val="ListNumber"/>
        <w:spacing w:before="0" w:after="40" w:line="264" w:lineRule="auto"/>
      </w:pPr>
      <w:r>
        <w:rPr>
          <w:rFonts w:ascii="Calibri" w:hAnsi="Calibri" w:eastAsia="Calibri"/>
          <w:b w:val="0"/>
          <w:i w:val="0"/>
          <w:color w:val="17212B"/>
          <w:sz w:val="21"/>
        </w:rPr>
        <w:t>Proportional income allocation with a calculation preview.</w:t>
      </w:r>
    </w:p>
    <w:p>
      <w:pPr>
        <w:pStyle w:val="ListNumber"/>
        <w:spacing w:before="0" w:after="40" w:line="264" w:lineRule="auto"/>
      </w:pPr>
      <w:r>
        <w:rPr>
          <w:rFonts w:ascii="Calibri" w:hAnsi="Calibri" w:eastAsia="Calibri"/>
          <w:b w:val="0"/>
          <w:i w:val="0"/>
          <w:color w:val="17212B"/>
          <w:sz w:val="21"/>
        </w:rPr>
        <w:t>Enforced visibility: Private, Shared details, Household total only.</w:t>
      </w:r>
    </w:p>
    <w:p>
      <w:pPr>
        <w:pStyle w:val="Heading2"/>
        <w:keepNext/>
        <w:spacing w:before="240" w:after="80" w:line="264" w:lineRule="auto"/>
      </w:pPr>
      <w:r>
        <w:rPr>
          <w:rFonts w:ascii="Calibri" w:hAnsi="Calibri" w:eastAsia="Calibri"/>
          <w:b/>
          <w:i w:val="0"/>
          <w:color w:val="2E74B5"/>
          <w:sz w:val="26"/>
        </w:rPr>
        <w:t>Build next</w:t>
      </w:r>
    </w:p>
    <w:p>
      <w:pPr>
        <w:pStyle w:val="ListNumber"/>
        <w:spacing w:before="0" w:after="40" w:line="264" w:lineRule="auto"/>
      </w:pPr>
      <w:r>
        <w:rPr>
          <w:rFonts w:ascii="Calibri" w:hAnsi="Calibri" w:eastAsia="Calibri"/>
          <w:b w:val="0"/>
          <w:i w:val="0"/>
          <w:color w:val="17212B"/>
          <w:sz w:val="21"/>
        </w:rPr>
        <w:t>Recurring detection with confidence and correction.</w:t>
      </w:r>
    </w:p>
    <w:p>
      <w:pPr>
        <w:pStyle w:val="ListNumber"/>
        <w:spacing w:before="0" w:after="40" w:line="264" w:lineRule="auto"/>
      </w:pPr>
      <w:r>
        <w:rPr>
          <w:rFonts w:ascii="Calibri" w:hAnsi="Calibri" w:eastAsia="Calibri"/>
          <w:b w:val="0"/>
          <w:i w:val="0"/>
          <w:color w:val="17212B"/>
          <w:sz w:val="21"/>
        </w:rPr>
        <w:t>Partner Light for a less hands-on partner.</w:t>
      </w:r>
    </w:p>
    <w:p>
      <w:pPr>
        <w:pStyle w:val="ListNumber"/>
        <w:spacing w:before="0" w:after="40" w:line="264" w:lineRule="auto"/>
      </w:pPr>
      <w:r>
        <w:rPr>
          <w:rFonts w:ascii="Calibri" w:hAnsi="Calibri" w:eastAsia="Calibri"/>
          <w:b w:val="0"/>
          <w:i w:val="0"/>
          <w:color w:val="17212B"/>
          <w:sz w:val="21"/>
        </w:rPr>
        <w:t>Contribution views for fixed, equal, and proportional sharing.</w:t>
      </w:r>
    </w:p>
    <w:p>
      <w:pPr>
        <w:pStyle w:val="ListNumber"/>
        <w:spacing w:before="0" w:after="40" w:line="264" w:lineRule="auto"/>
      </w:pPr>
      <w:r>
        <w:rPr>
          <w:rFonts w:ascii="Calibri" w:hAnsi="Calibri" w:eastAsia="Calibri"/>
          <w:b w:val="0"/>
          <w:i w:val="0"/>
          <w:color w:val="17212B"/>
          <w:sz w:val="21"/>
        </w:rPr>
        <w:t>Goal destination matching and actual contribution detection.</w:t>
      </w:r>
    </w:p>
    <w:p>
      <w:pPr>
        <w:pStyle w:val="ListNumber"/>
        <w:spacing w:before="0" w:after="40" w:line="264" w:lineRule="auto"/>
      </w:pPr>
      <w:r>
        <w:rPr>
          <w:rFonts w:ascii="Calibri" w:hAnsi="Calibri" w:eastAsia="Calibri"/>
          <w:b w:val="0"/>
          <w:i w:val="0"/>
          <w:color w:val="17212B"/>
          <w:sz w:val="21"/>
        </w:rPr>
        <w:t>Audit trail and undo for automatic rules.</w:t>
      </w:r>
    </w:p>
    <w:p>
      <w:pPr>
        <w:pStyle w:val="Heading2"/>
        <w:keepNext/>
        <w:spacing w:before="240" w:after="80" w:line="264" w:lineRule="auto"/>
      </w:pPr>
      <w:r>
        <w:rPr>
          <w:rFonts w:ascii="Calibri" w:hAnsi="Calibri" w:eastAsia="Calibri"/>
          <w:b/>
          <w:i w:val="0"/>
          <w:color w:val="2E74B5"/>
          <w:sz w:val="26"/>
        </w:rPr>
        <w:t>Avoid until the core is trusted</w:t>
      </w:r>
    </w:p>
    <w:p>
      <w:pPr>
        <w:pStyle w:val="ListBullet"/>
        <w:spacing w:before="0" w:after="40" w:line="264" w:lineRule="auto"/>
      </w:pPr>
      <w:r>
        <w:rPr>
          <w:rFonts w:ascii="Calibri" w:hAnsi="Calibri" w:eastAsia="Calibri"/>
          <w:b w:val="0"/>
          <w:i w:val="0"/>
          <w:color w:val="17212B"/>
          <w:sz w:val="21"/>
        </w:rPr>
        <w:t>Moving money or executing transfers.</w:t>
      </w:r>
    </w:p>
    <w:p>
      <w:pPr>
        <w:pStyle w:val="ListBullet"/>
        <w:spacing w:before="0" w:after="40" w:line="264" w:lineRule="auto"/>
      </w:pPr>
      <w:r>
        <w:rPr>
          <w:rFonts w:ascii="Calibri" w:hAnsi="Calibri" w:eastAsia="Calibri"/>
          <w:b w:val="0"/>
          <w:i w:val="0"/>
          <w:color w:val="17212B"/>
          <w:sz w:val="21"/>
        </w:rPr>
        <w:t>Cards, investments, or a broad marketplace.</w:t>
      </w:r>
    </w:p>
    <w:p>
      <w:pPr>
        <w:pStyle w:val="ListBullet"/>
        <w:spacing w:before="0" w:after="40" w:line="264" w:lineRule="auto"/>
      </w:pPr>
      <w:r>
        <w:rPr>
          <w:rFonts w:ascii="Calibri" w:hAnsi="Calibri" w:eastAsia="Calibri"/>
          <w:b w:val="0"/>
          <w:i w:val="0"/>
          <w:color w:val="17212B"/>
          <w:sz w:val="21"/>
        </w:rPr>
        <w:t>A dashboard made of many configurable widgets.</w:t>
      </w:r>
    </w:p>
    <w:p>
      <w:pPr>
        <w:pStyle w:val="ListBullet"/>
        <w:spacing w:before="0" w:after="40" w:line="264" w:lineRule="auto"/>
      </w:pPr>
      <w:r>
        <w:rPr>
          <w:rFonts w:ascii="Calibri" w:hAnsi="Calibri" w:eastAsia="Calibri"/>
          <w:b w:val="0"/>
          <w:i w:val="0"/>
          <w:color w:val="17212B"/>
          <w:sz w:val="21"/>
        </w:rPr>
        <w:t>Forecasts that cannot be reconciled to source transactions.</w:t>
      </w:r>
    </w:p>
    <w:p>
      <w:pPr>
        <w:pStyle w:val="ListBullet"/>
        <w:spacing w:before="0" w:after="40" w:line="264" w:lineRule="auto"/>
      </w:pPr>
      <w:r>
        <w:rPr>
          <w:rFonts w:ascii="Calibri" w:hAnsi="Calibri" w:eastAsia="Calibri"/>
          <w:b w:val="0"/>
          <w:i w:val="0"/>
          <w:color w:val="17212B"/>
          <w:sz w:val="21"/>
        </w:rPr>
        <w:t>Gamification that treats overspending as shame.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North star  </w:t>
            </w:r>
            <w:r>
              <w:rPr>
                <w:rFonts w:ascii="Calibri" w:hAnsi="Calibri" w:eastAsia="Calibri"/>
                <w:b w:val="0"/>
                <w:i w:val="0"/>
                <w:color w:val="17212B"/>
                <w:sz w:val="21"/>
              </w:rPr>
              <w:t>Both partners can answer: What can we spend? What did we save? What still needs attention?</w:t>
            </w:r>
          </w:p>
        </w:tc>
      </w:tr>
    </w:tbl>
    <w:p>
      <w:pPr>
        <w:spacing w:after="0"/>
      </w:pPr>
    </w:p>
    <w:p>
      <w:r>
        <w:br w:type="page"/>
      </w:r>
    </w:p>
    <w:p>
      <w:pPr>
        <w:pStyle w:val="Heading1"/>
        <w:keepNext/>
        <w:spacing w:before="0" w:after="80" w:line="264" w:lineRule="auto"/>
      </w:pPr>
      <w:r>
        <w:rPr>
          <w:rFonts w:ascii="Calibri" w:hAnsi="Calibri" w:eastAsia="Calibri"/>
          <w:b/>
          <w:i w:val="0"/>
          <w:color w:val="2E74B5"/>
          <w:sz w:val="32"/>
        </w:rPr>
        <w:t>Sources and evidence notes</w:t>
      </w:r>
    </w:p>
    <w:p>
      <w:pPr>
        <w:spacing w:before="0" w:after="120" w:line="264" w:lineRule="auto"/>
      </w:pPr>
      <w:r>
        <w:rPr>
          <w:rFonts w:ascii="Calibri" w:hAnsi="Calibri" w:eastAsia="Calibri"/>
          <w:b w:val="0"/>
          <w:i/>
          <w:color w:val="667085"/>
          <w:sz w:val="19"/>
        </w:rPr>
        <w:t>Official sources were accessed on 1 September 2026. Product availability, pricing, and regional rules may change. Annual-report screenshots are included as public product evidence. Reddit links are qualitative anecdotes, not prevalence estimates.</w:t>
      </w:r>
    </w:p>
    <w:p>
      <w:pPr>
        <w:pStyle w:val="Heading2"/>
        <w:keepNext/>
        <w:spacing w:before="240" w:after="80" w:line="264" w:lineRule="auto"/>
      </w:pPr>
      <w:r>
        <w:rPr>
          <w:rFonts w:ascii="Calibri" w:hAnsi="Calibri" w:eastAsia="Calibri"/>
          <w:b/>
          <w:i w:val="0"/>
          <w:color w:val="2E74B5"/>
          <w:sz w:val="26"/>
        </w:rPr>
        <w:t>Wise official</w:t>
      </w:r>
    </w:p>
    <w:p>
      <w:pPr>
        <w:pStyle w:val="ListBullet"/>
        <w:spacing w:before="0" w:after="20" w:line="264" w:lineRule="auto"/>
      </w:pPr>
      <w:hyperlink r:id="rId19">
        <w:r>
          <w:rPr>
            <w:color w:val="2E74B5"/>
            <w:u w:val="single"/>
            <w:rFonts w:ascii="Calibri" w:hAnsi="Calibri"/>
          </w:rPr>
          <w:t>Spend with others help</w:t>
        </w:r>
      </w:hyperlink>
    </w:p>
    <w:p>
      <w:pPr>
        <w:pStyle w:val="ListBullet"/>
        <w:spacing w:before="0" w:after="20" w:line="264" w:lineRule="auto"/>
      </w:pPr>
      <w:hyperlink r:id="rId20">
        <w:r>
          <w:rPr>
            <w:color w:val="2E74B5"/>
            <w:u w:val="single"/>
            <w:rFonts w:ascii="Calibri" w:hAnsi="Calibri"/>
          </w:rPr>
          <w:t>Spend with others</w:t>
        </w:r>
      </w:hyperlink>
    </w:p>
    <w:p>
      <w:pPr>
        <w:pStyle w:val="ListBullet"/>
        <w:spacing w:before="0" w:after="20" w:line="264" w:lineRule="auto"/>
      </w:pPr>
      <w:hyperlink r:id="rId21">
        <w:r>
          <w:rPr>
            <w:color w:val="2E74B5"/>
            <w:u w:val="single"/>
            <w:rFonts w:ascii="Calibri" w:hAnsi="Calibri"/>
          </w:rPr>
          <w:t>Jars</w:t>
        </w:r>
      </w:hyperlink>
    </w:p>
    <w:p>
      <w:pPr>
        <w:pStyle w:val="ListBullet"/>
        <w:spacing w:before="0" w:after="20" w:line="264" w:lineRule="auto"/>
      </w:pPr>
      <w:hyperlink r:id="rId22">
        <w:r>
          <w:rPr>
            <w:color w:val="2E74B5"/>
            <w:u w:val="single"/>
            <w:rFonts w:ascii="Calibri" w:hAnsi="Calibri"/>
          </w:rPr>
          <w:t>Scheduled transfers</w:t>
        </w:r>
      </w:hyperlink>
    </w:p>
    <w:p>
      <w:pPr>
        <w:pStyle w:val="ListBullet"/>
        <w:spacing w:before="0" w:after="20" w:line="264" w:lineRule="auto"/>
      </w:pPr>
      <w:hyperlink r:id="rId23">
        <w:r>
          <w:rPr>
            <w:color w:val="2E74B5"/>
            <w:u w:val="single"/>
            <w:rFonts w:ascii="Calibri" w:hAnsi="Calibri"/>
          </w:rPr>
          <w:t>Pricing</w:t>
        </w:r>
      </w:hyperlink>
    </w:p>
    <w:p>
      <w:pPr>
        <w:pStyle w:val="Heading2"/>
        <w:keepNext/>
        <w:spacing w:before="240" w:after="80" w:line="264" w:lineRule="auto"/>
      </w:pPr>
      <w:r>
        <w:rPr>
          <w:rFonts w:ascii="Calibri" w:hAnsi="Calibri" w:eastAsia="Calibri"/>
          <w:b/>
          <w:i w:val="0"/>
          <w:color w:val="2E74B5"/>
          <w:sz w:val="26"/>
        </w:rPr>
        <w:t>Revolut official</w:t>
      </w:r>
    </w:p>
    <w:p>
      <w:pPr>
        <w:pStyle w:val="ListBullet"/>
        <w:spacing w:before="0" w:after="20" w:line="264" w:lineRule="auto"/>
      </w:pPr>
      <w:hyperlink r:id="rId24">
        <w:r>
          <w:rPr>
            <w:color w:val="2E74B5"/>
            <w:u w:val="single"/>
            <w:rFonts w:ascii="Calibri" w:hAnsi="Calibri"/>
          </w:rPr>
          <w:t>Joint account setup</w:t>
        </w:r>
      </w:hyperlink>
    </w:p>
    <w:p>
      <w:pPr>
        <w:pStyle w:val="ListBullet"/>
        <w:spacing w:before="0" w:after="20" w:line="264" w:lineRule="auto"/>
      </w:pPr>
      <w:hyperlink r:id="rId25">
        <w:r>
          <w:rPr>
            <w:color w:val="2E74B5"/>
            <w:u w:val="single"/>
            <w:rFonts w:ascii="Calibri" w:hAnsi="Calibri"/>
          </w:rPr>
          <w:t>Income Sorter</w:t>
        </w:r>
      </w:hyperlink>
    </w:p>
    <w:p>
      <w:pPr>
        <w:pStyle w:val="ListBullet"/>
        <w:spacing w:before="0" w:after="20" w:line="264" w:lineRule="auto"/>
      </w:pPr>
      <w:hyperlink r:id="rId26">
        <w:r>
          <w:rPr>
            <w:color w:val="2E74B5"/>
            <w:u w:val="single"/>
            <w:rFonts w:ascii="Calibri" w:hAnsi="Calibri"/>
          </w:rPr>
          <w:t>Spending and income analytics</w:t>
        </w:r>
      </w:hyperlink>
    </w:p>
    <w:p>
      <w:pPr>
        <w:pStyle w:val="ListBullet"/>
        <w:spacing w:before="0" w:after="20" w:line="264" w:lineRule="auto"/>
      </w:pPr>
      <w:hyperlink r:id="rId27">
        <w:r>
          <w:rPr>
            <w:color w:val="2E74B5"/>
            <w:u w:val="single"/>
            <w:rFonts w:ascii="Calibri" w:hAnsi="Calibri"/>
          </w:rPr>
          <w:t>Custom categories</w:t>
        </w:r>
      </w:hyperlink>
    </w:p>
    <w:p>
      <w:pPr>
        <w:pStyle w:val="ListBullet"/>
        <w:spacing w:before="0" w:after="20" w:line="264" w:lineRule="auto"/>
      </w:pPr>
      <w:hyperlink r:id="rId28">
        <w:r>
          <w:rPr>
            <w:color w:val="2E74B5"/>
            <w:u w:val="single"/>
            <w:rFonts w:ascii="Calibri" w:hAnsi="Calibri"/>
          </w:rPr>
          <w:t>Belgian pricing</w:t>
        </w:r>
      </w:hyperlink>
    </w:p>
    <w:p>
      <w:pPr>
        <w:pStyle w:val="ListBullet"/>
        <w:spacing w:before="0" w:after="20" w:line="264" w:lineRule="auto"/>
      </w:pPr>
      <w:hyperlink r:id="rId29">
        <w:r>
          <w:rPr>
            <w:color w:val="2E74B5"/>
            <w:u w:val="single"/>
            <w:rFonts w:ascii="Calibri" w:hAnsi="Calibri"/>
          </w:rPr>
          <w:t>FY2025 annual report</w:t>
        </w:r>
      </w:hyperlink>
    </w:p>
    <w:p>
      <w:pPr>
        <w:pStyle w:val="Heading2"/>
        <w:keepNext/>
        <w:spacing w:before="240" w:after="80" w:line="264" w:lineRule="auto"/>
      </w:pPr>
      <w:r>
        <w:rPr>
          <w:rFonts w:ascii="Calibri" w:hAnsi="Calibri" w:eastAsia="Calibri"/>
          <w:b/>
          <w:i w:val="0"/>
          <w:color w:val="2E74B5"/>
          <w:sz w:val="26"/>
        </w:rPr>
        <w:t>Monarch official</w:t>
      </w:r>
    </w:p>
    <w:p>
      <w:pPr>
        <w:pStyle w:val="ListBullet"/>
        <w:spacing w:before="0" w:after="20" w:line="264" w:lineRule="auto"/>
      </w:pPr>
      <w:hyperlink r:id="rId30">
        <w:r>
          <w:rPr>
            <w:color w:val="2E74B5"/>
            <w:u w:val="single"/>
            <w:rFonts w:ascii="Calibri" w:hAnsi="Calibri"/>
          </w:rPr>
          <w:t>For couples</w:t>
        </w:r>
      </w:hyperlink>
    </w:p>
    <w:p>
      <w:pPr>
        <w:pStyle w:val="ListBullet"/>
        <w:spacing w:before="0" w:after="20" w:line="264" w:lineRule="auto"/>
      </w:pPr>
      <w:hyperlink r:id="rId31">
        <w:r>
          <w:rPr>
            <w:color w:val="2E74B5"/>
            <w:u w:val="single"/>
            <w:rFonts w:ascii="Calibri" w:hAnsi="Calibri"/>
          </w:rPr>
          <w:t>Shared Views</w:t>
        </w:r>
      </w:hyperlink>
    </w:p>
    <w:p>
      <w:pPr>
        <w:pStyle w:val="ListBullet"/>
        <w:spacing w:before="0" w:after="20" w:line="264" w:lineRule="auto"/>
      </w:pPr>
      <w:hyperlink r:id="rId32">
        <w:r>
          <w:rPr>
            <w:color w:val="2E74B5"/>
            <w:u w:val="single"/>
            <w:rFonts w:ascii="Calibri" w:hAnsi="Calibri"/>
          </w:rPr>
          <w:t>Monarch for Couples</w:t>
        </w:r>
      </w:hyperlink>
    </w:p>
    <w:p>
      <w:pPr>
        <w:pStyle w:val="ListBullet"/>
        <w:spacing w:before="0" w:after="20" w:line="264" w:lineRule="auto"/>
      </w:pPr>
      <w:hyperlink r:id="rId33">
        <w:r>
          <w:rPr>
            <w:color w:val="2E74B5"/>
            <w:u w:val="single"/>
            <w:rFonts w:ascii="Calibri" w:hAnsi="Calibri"/>
          </w:rPr>
          <w:t>Understanding your budget</w:t>
        </w:r>
      </w:hyperlink>
    </w:p>
    <w:p>
      <w:pPr>
        <w:pStyle w:val="ListBullet"/>
        <w:spacing w:before="0" w:after="20" w:line="264" w:lineRule="auto"/>
      </w:pPr>
      <w:hyperlink r:id="rId34">
        <w:r>
          <w:rPr>
            <w:color w:val="2E74B5"/>
            <w:u w:val="single"/>
            <w:rFonts w:ascii="Calibri" w:hAnsi="Calibri"/>
          </w:rPr>
          <w:t>Transaction rules</w:t>
        </w:r>
      </w:hyperlink>
    </w:p>
    <w:p>
      <w:pPr>
        <w:pStyle w:val="ListBullet"/>
        <w:spacing w:before="0" w:after="20" w:line="264" w:lineRule="auto"/>
      </w:pPr>
      <w:hyperlink r:id="rId35">
        <w:r>
          <w:rPr>
            <w:color w:val="2E74B5"/>
            <w:u w:val="single"/>
            <w:rFonts w:ascii="Calibri" w:hAnsi="Calibri"/>
          </w:rPr>
          <w:t>Reviewing transactions</w:t>
        </w:r>
      </w:hyperlink>
    </w:p>
    <w:p>
      <w:pPr>
        <w:pStyle w:val="ListBullet"/>
        <w:spacing w:before="0" w:after="20" w:line="264" w:lineRule="auto"/>
      </w:pPr>
      <w:hyperlink r:id="rId36">
        <w:r>
          <w:rPr>
            <w:color w:val="2E74B5"/>
            <w:u w:val="single"/>
            <w:rFonts w:ascii="Calibri" w:hAnsi="Calibri"/>
          </w:rPr>
          <w:t>Recurring expenses</w:t>
        </w:r>
      </w:hyperlink>
    </w:p>
    <w:p>
      <w:pPr>
        <w:pStyle w:val="ListBullet"/>
        <w:spacing w:before="0" w:after="20" w:line="264" w:lineRule="auto"/>
      </w:pPr>
      <w:hyperlink r:id="rId37">
        <w:r>
          <w:rPr>
            <w:color w:val="2E74B5"/>
            <w:u w:val="single"/>
            <w:rFonts w:ascii="Calibri" w:hAnsi="Calibri"/>
          </w:rPr>
          <w:t>Reports</w:t>
        </w:r>
      </w:hyperlink>
    </w:p>
    <w:p>
      <w:pPr>
        <w:pStyle w:val="ListBullet"/>
        <w:spacing w:before="0" w:after="20" w:line="264" w:lineRule="auto"/>
      </w:pPr>
      <w:hyperlink r:id="rId38">
        <w:r>
          <w:rPr>
            <w:color w:val="2E74B5"/>
            <w:u w:val="single"/>
            <w:rFonts w:ascii="Calibri" w:hAnsi="Calibri"/>
          </w:rPr>
          <w:t>Product updates</w:t>
        </w:r>
      </w:hyperlink>
    </w:p>
    <w:p>
      <w:r>
        <w:br w:type="page"/>
      </w:r>
    </w:p>
    <w:p>
      <w:pPr>
        <w:pStyle w:val="Heading1"/>
        <w:keepNext/>
        <w:spacing w:before="0" w:after="80" w:line="264" w:lineRule="auto"/>
      </w:pPr>
      <w:r>
        <w:rPr>
          <w:rFonts w:ascii="Calibri" w:hAnsi="Calibri" w:eastAsia="Calibri"/>
          <w:b/>
          <w:i w:val="0"/>
          <w:color w:val="2E74B5"/>
          <w:sz w:val="32"/>
        </w:rPr>
        <w:t>Anecdotal user-discussion index</w:t>
      </w:r>
    </w:p>
    <w:p>
      <w:pPr>
        <w:pStyle w:val="ListBullet"/>
        <w:spacing w:before="0" w:after="40" w:line="264" w:lineRule="auto"/>
      </w:pPr>
      <w:hyperlink r:id="rId39">
        <w:r>
          <w:rPr>
            <w:color w:val="2E74B5"/>
            <w:u w:val="single"/>
            <w:rFonts w:ascii="Calibri" w:hAnsi="Calibri"/>
          </w:rPr>
          <w:t>Wise and Revolut comparison</w:t>
        </w:r>
      </w:hyperlink>
    </w:p>
    <w:p>
      <w:pPr>
        <w:pStyle w:val="ListBullet"/>
        <w:spacing w:before="0" w:after="40" w:line="264" w:lineRule="auto"/>
      </w:pPr>
      <w:hyperlink r:id="rId40">
        <w:r>
          <w:rPr>
            <w:color w:val="2E74B5"/>
            <w:u w:val="single"/>
            <w:rFonts w:ascii="Calibri" w:hAnsi="Calibri"/>
          </w:rPr>
          <w:t>Revolut joint-account setup confusion</w:t>
        </w:r>
      </w:hyperlink>
    </w:p>
    <w:p>
      <w:pPr>
        <w:pStyle w:val="ListBullet"/>
        <w:spacing w:before="0" w:after="40" w:line="264" w:lineRule="auto"/>
      </w:pPr>
      <w:hyperlink r:id="rId41">
        <w:r>
          <w:rPr>
            <w:color w:val="2E74B5"/>
            <w:u w:val="single"/>
            <w:rFonts w:ascii="Calibri" w:hAnsi="Calibri"/>
          </w:rPr>
          <w:t>Revolut joint-account creation errors</w:t>
        </w:r>
      </w:hyperlink>
    </w:p>
    <w:p>
      <w:pPr>
        <w:pStyle w:val="ListBullet"/>
        <w:spacing w:before="0" w:after="40" w:line="264" w:lineRule="auto"/>
      </w:pPr>
      <w:hyperlink r:id="rId42">
        <w:r>
          <w:rPr>
            <w:color w:val="2E74B5"/>
            <w:u w:val="single"/>
            <w:rFonts w:ascii="Calibri" w:hAnsi="Calibri"/>
          </w:rPr>
          <w:t>Revolut analytics history complaint</w:t>
        </w:r>
      </w:hyperlink>
    </w:p>
    <w:p>
      <w:pPr>
        <w:pStyle w:val="ListBullet"/>
        <w:spacing w:before="0" w:after="40" w:line="264" w:lineRule="auto"/>
      </w:pPr>
      <w:hyperlink r:id="rId43">
        <w:r>
          <w:rPr>
            <w:color w:val="2E74B5"/>
            <w:u w:val="single"/>
            <w:rFonts w:ascii="Calibri" w:hAnsi="Calibri"/>
          </w:rPr>
          <w:t>Revolut Pockets analytics complaint</w:t>
        </w:r>
      </w:hyperlink>
    </w:p>
    <w:p>
      <w:pPr>
        <w:pStyle w:val="ListBullet"/>
        <w:spacing w:before="0" w:after="40" w:line="264" w:lineRule="auto"/>
      </w:pPr>
      <w:hyperlink r:id="rId44">
        <w:r>
          <w:rPr>
            <w:color w:val="2E74B5"/>
            <w:u w:val="single"/>
            <w:rFonts w:ascii="Calibri" w:hAnsi="Calibri"/>
          </w:rPr>
          <w:t>Monarch account-sync complaint</w:t>
        </w:r>
      </w:hyperlink>
    </w:p>
    <w:p>
      <w:pPr>
        <w:pStyle w:val="ListBullet"/>
        <w:spacing w:before="0" w:after="40" w:line="264" w:lineRule="auto"/>
      </w:pPr>
      <w:hyperlink r:id="rId45">
        <w:r>
          <w:rPr>
            <w:color w:val="2E74B5"/>
            <w:u w:val="single"/>
            <w:rFonts w:ascii="Calibri" w:hAnsi="Calibri"/>
          </w:rPr>
          <w:t>Monarch duplicate transactions and trust</w:t>
        </w:r>
      </w:hyperlink>
    </w:p>
    <w:p>
      <w:pPr>
        <w:pStyle w:val="ListBullet"/>
        <w:spacing w:before="0" w:after="40" w:line="264" w:lineRule="auto"/>
      </w:pPr>
      <w:hyperlink r:id="rId46">
        <w:r>
          <w:rPr>
            <w:color w:val="2E74B5"/>
            <w:u w:val="single"/>
            <w:rFonts w:ascii="Calibri" w:hAnsi="Calibri"/>
          </w:rPr>
          <w:t>Monarch private budgets and transactions request</w:t>
        </w:r>
      </w:hyperlink>
    </w:p>
    <w:p>
      <w:pPr>
        <w:pStyle w:val="ListBullet"/>
        <w:spacing w:before="0" w:after="40" w:line="264" w:lineRule="auto"/>
      </w:pPr>
      <w:hyperlink r:id="rId47">
        <w:r>
          <w:rPr>
            <w:color w:val="2E74B5"/>
            <w:u w:val="single"/>
            <w:rFonts w:ascii="Calibri" w:hAnsi="Calibri"/>
          </w:rPr>
          <w:t>Monarch goals criticism</w:t>
        </w:r>
      </w:hyperlink>
    </w:p>
    <w:p>
      <w:pPr>
        <w:pStyle w:val="ListBullet"/>
        <w:spacing w:before="0" w:after="40" w:line="264" w:lineRule="auto"/>
      </w:pPr>
      <w:hyperlink r:id="rId48">
        <w:r>
          <w:rPr>
            <w:color w:val="2E74B5"/>
            <w:u w:val="single"/>
            <w:rFonts w:ascii="Calibri" w:hAnsi="Calibri"/>
          </w:rPr>
          <w:t>Monarch budget criticism</w:t>
        </w:r>
      </w:hyperlink>
    </w:p>
    <w:p>
      <w:pPr>
        <w:pStyle w:val="Heading2"/>
        <w:keepNext/>
        <w:spacing w:before="240" w:after="80" w:line="264" w:lineRule="auto"/>
      </w:pPr>
      <w:r>
        <w:rPr>
          <w:rFonts w:ascii="Calibri" w:hAnsi="Calibri" w:eastAsia="Calibri"/>
          <w:b/>
          <w:i w:val="0"/>
          <w:color w:val="2E74B5"/>
          <w:sz w:val="26"/>
        </w:rPr>
        <w:t>Research limits</w:t>
      </w:r>
    </w:p>
    <w:p>
      <w:pPr>
        <w:spacing w:before="0" w:after="0" w:line="264" w:lineRule="auto"/>
      </w:pPr>
      <w:r>
        <w:rPr>
          <w:rFonts w:ascii="Calibri" w:hAnsi="Calibri" w:eastAsia="Calibri"/>
          <w:b w:val="0"/>
          <w:i w:val="0"/>
          <w:color w:val="17212B"/>
          <w:sz w:val="22"/>
        </w:rPr>
        <w:t>This is desk research, not a regulated account-opening or long-term sync test. Public screenshots may depict selected marketing states. Public discussions may be incomplete or unrepresentative. Validate the final Wollie flows with real couples using joint, separate, and mixed accounts.</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200"/>
      <w:gridCol w:w="2160"/>
    </w:tblGrid>
    <w:tr>
      <w:tc>
        <w:tcPr>
          <w:tcW w:type="dxa" w:w="7200"/>
          <w:tcMar>
            <w:top w:w="90" w:type="dxa"/>
            <w:start w:w="120" w:type="dxa"/>
            <w:bottom w:w="90" w:type="dxa"/>
            <w:end w:w="120" w:type="dxa"/>
          </w:tcMar>
        </w:tcPr>
        <w:p>
          <w:pPr>
            <w:spacing w:before="0" w:after="0" w:line="264" w:lineRule="auto"/>
          </w:pPr>
          <w:r>
            <w:rPr>
              <w:rFonts w:ascii="Calibri" w:hAnsi="Calibri" w:eastAsia="Calibri"/>
              <w:b w:val="0"/>
              <w:i w:val="0"/>
              <w:color w:val="667085"/>
              <w:sz w:val="16"/>
            </w:rPr>
            <w:t>Wollie product research  •  private working document</w:t>
          </w:r>
        </w:p>
      </w:tc>
      <w:tc>
        <w:tcPr>
          <w:tcW w:type="dxa" w:w="2160"/>
          <w:tcMar>
            <w:top w:w="90" w:type="dxa"/>
            <w:start w:w="120" w:type="dxa"/>
            <w:bottom w:w="90" w:type="dxa"/>
            <w:end w:w="120" w:type="dxa"/>
          </w:tcMar>
        </w:tcPr>
        <w:p>
          <w:pPr>
            <w:spacing w:before="0" w:after="0" w:line="264" w:lineRule="auto"/>
            <w:jc w:val="right"/>
          </w:pPr>
          <w:r>
            <w:rPr>
              <w:rFonts w:ascii="Calibri" w:hAnsi="Calibri" w:eastAsia="Calibri"/>
              <w:b w:val="0"/>
              <w:i w:val="0"/>
              <w:color w:val="66708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6000"/>
      <w:gridCol w:w="3360"/>
    </w:tblGrid>
    <w:tr>
      <w:tc>
        <w:tcPr>
          <w:tcW w:type="dxa" w:w="6000"/>
          <w:tcMar>
            <w:top w:w="90" w:type="dxa"/>
            <w:start w:w="120" w:type="dxa"/>
            <w:bottom w:w="90" w:type="dxa"/>
            <w:end w:w="120" w:type="dxa"/>
          </w:tcMar>
        </w:tcPr>
        <w:p>
          <w:pPr>
            <w:spacing w:before="0" w:after="0" w:line="264" w:lineRule="auto"/>
          </w:pPr>
          <w:r>
            <w:rPr>
              <w:rFonts w:ascii="Calibri" w:hAnsi="Calibri" w:eastAsia="Calibri"/>
              <w:b/>
              <w:i w:val="0"/>
              <w:color w:val="082C4C"/>
              <w:sz w:val="16"/>
            </w:rPr>
            <w:t>WOLLIE  /  WISE · REVOLUT · MONARCH</w:t>
          </w:r>
        </w:p>
      </w:tc>
      <w:tc>
        <w:tcPr>
          <w:tcW w:type="dxa" w:w="3360"/>
          <w:tcMar>
            <w:top w:w="90" w:type="dxa"/>
            <w:start w:w="120" w:type="dxa"/>
            <w:bottom w:w="90" w:type="dxa"/>
            <w:end w:w="120" w:type="dxa"/>
          </w:tcMar>
        </w:tcPr>
        <w:p>
          <w:pPr>
            <w:spacing w:before="0" w:after="0" w:line="264" w:lineRule="auto"/>
            <w:jc w:val="right"/>
          </w:pPr>
          <w:r>
            <w:rPr>
              <w:rFonts w:ascii="Calibri" w:hAnsi="Calibri" w:eastAsia="Calibri"/>
              <w:b w:val="0"/>
              <w:i w:val="0"/>
              <w:color w:val="667085"/>
              <w:sz w:val="16"/>
            </w:rPr>
            <w:t>1 September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ise.com/help/articles/4nyqakqieuWseODSZAUCzi/how-to-use-spend-with-others" TargetMode="External"/><Relationship Id="rId20" Type="http://schemas.openxmlformats.org/officeDocument/2006/relationships/hyperlink" Target="https://wise.com/p/spend-with-others" TargetMode="External"/><Relationship Id="rId21" Type="http://schemas.openxmlformats.org/officeDocument/2006/relationships/hyperlink" Target="https://wise.com/help/articles/2978074/what-are-jars-and-how-can-i-keep-money-in-them" TargetMode="External"/><Relationship Id="rId22" Type="http://schemas.openxmlformats.org/officeDocument/2006/relationships/hyperlink" Target="https://wise.com/help/articles/2978063/what-are-scheduled-transfers" TargetMode="External"/><Relationship Id="rId23" Type="http://schemas.openxmlformats.org/officeDocument/2006/relationships/hyperlink" Target="https://wise.com/gb/pricing/" TargetMode="External"/><Relationship Id="rId24" Type="http://schemas.openxmlformats.org/officeDocument/2006/relationships/hyperlink" Target="https://help.revolut.com/en-BE/help/profile-and-plan/joint-accounts/how-to-set-up-a-joint-account-with-revolut/" TargetMode="External"/><Relationship Id="rId25" Type="http://schemas.openxmlformats.org/officeDocument/2006/relationships/hyperlink" Target="https://help.revolut.com/en-BE/help/accounts/budget-and-analytics/using-the-income-sorter-feature/" TargetMode="External"/><Relationship Id="rId26" Type="http://schemas.openxmlformats.org/officeDocument/2006/relationships/hyperlink" Target="https://help.revolut.com/en-NL/help/accounts/budget-and-analytics/how-can-i-see-my-spending-and-income-analytics/" TargetMode="External"/><Relationship Id="rId27" Type="http://schemas.openxmlformats.org/officeDocument/2006/relationships/hyperlink" Target="https://help.revolut.com/en-IE/help/accounts/budget-and-analytics/how-to-create-and-manage-custom-categories-for-transactions/" TargetMode="External"/><Relationship Id="rId28" Type="http://schemas.openxmlformats.org/officeDocument/2006/relationships/hyperlink" Target="https://www.revolut.com/en-BE/our-pricing-plans/" TargetMode="External"/><Relationship Id="rId29" Type="http://schemas.openxmlformats.org/officeDocument/2006/relationships/hyperlink" Target="https://assets.revolut.com/pdf/annualreport2025.pdf" TargetMode="External"/><Relationship Id="rId30" Type="http://schemas.openxmlformats.org/officeDocument/2006/relationships/hyperlink" Target="https://www.monarch.com/for-couples" TargetMode="External"/><Relationship Id="rId31" Type="http://schemas.openxmlformats.org/officeDocument/2006/relationships/hyperlink" Target="https://help.monarch.com/hc/en-us/articles/42228648365076-Shared-Views-in-Monarch" TargetMode="External"/><Relationship Id="rId32" Type="http://schemas.openxmlformats.org/officeDocument/2006/relationships/hyperlink" Target="https://help.monarch.com/hc/en-us/articles/20926382202004-Monarch-for-Couples" TargetMode="External"/><Relationship Id="rId33" Type="http://schemas.openxmlformats.org/officeDocument/2006/relationships/hyperlink" Target="https://help.monarch.com/hc/en-us/articles/360048883631-Understanding-Your-Budget-in-Monarch" TargetMode="External"/><Relationship Id="rId34" Type="http://schemas.openxmlformats.org/officeDocument/2006/relationships/hyperlink" Target="https://help.monarchmoney.com/hc/en-us/articles/360048393372-Transaction-rules" TargetMode="External"/><Relationship Id="rId35" Type="http://schemas.openxmlformats.org/officeDocument/2006/relationships/hyperlink" Target="https://help.monarch.com/hc/en-us/articles/5528707082516-Reviewing-transactions" TargetMode="External"/><Relationship Id="rId36" Type="http://schemas.openxmlformats.org/officeDocument/2006/relationships/hyperlink" Target="https://help.monarch.com/hc/en-us/articles/4890751141908-Tracking-Recurring-Expenses-and-Bills" TargetMode="External"/><Relationship Id="rId37" Type="http://schemas.openxmlformats.org/officeDocument/2006/relationships/hyperlink" Target="https://help.monarch.com/hc/en-us/articles/21846787088916-Using-Reports" TargetMode="External"/><Relationship Id="rId38" Type="http://schemas.openxmlformats.org/officeDocument/2006/relationships/hyperlink" Target="https://www.monarch.com/whats-new" TargetMode="External"/><Relationship Id="rId39" Type="http://schemas.openxmlformats.org/officeDocument/2006/relationships/hyperlink" Target="https://www.reddit.com/r/ExpatFinance/comments/1rrl2iu/anyone_using_both_wise_and_revolut_accounts/" TargetMode="External"/><Relationship Id="rId40" Type="http://schemas.openxmlformats.org/officeDocument/2006/relationships/hyperlink" Target="https://www.reddit.com/r/Revolut/comments/1ve5lvm/gb_joint_accounts/" TargetMode="External"/><Relationship Id="rId41" Type="http://schemas.openxmlformats.org/officeDocument/2006/relationships/hyperlink" Target="https://www.reddit.com/r/Revolut/comments/1dde3g2/i_cant_make_a_joint_account/" TargetMode="External"/><Relationship Id="rId42" Type="http://schemas.openxmlformats.org/officeDocument/2006/relationships/hyperlink" Target="https://www.reddit.com/r/Revolut/comments/1n3k1wl/3_years_of_analytics_gone_after_the_last_update/" TargetMode="External"/><Relationship Id="rId43" Type="http://schemas.openxmlformats.org/officeDocument/2006/relationships/hyperlink" Target="https://www.reddit.com/r/Revolut/comments/1aw4hr5" TargetMode="External"/><Relationship Id="rId44" Type="http://schemas.openxmlformats.org/officeDocument/2006/relationships/hyperlink" Target="https://www.reddit.com/r/MonarchMoney/comments/1vujxdx/account_syncing_is_the_product/" TargetMode="External"/><Relationship Id="rId45" Type="http://schemas.openxmlformats.org/officeDocument/2006/relationships/hyperlink" Target="https://www.reddit.com/r/MonarchMoney/comments/1b5mkwj/sync_issues_and_duplicate_transactions_undermine_trust_what_are_we_paying_for/" TargetMode="External"/><Relationship Id="rId46" Type="http://schemas.openxmlformats.org/officeDocument/2006/relationships/hyperlink" Target="https://www.reddit.com/r/MonarchMoney/comments/1v4m9rv/private_budgets_and_transactions/" TargetMode="External"/><Relationship Id="rId47" Type="http://schemas.openxmlformats.org/officeDocument/2006/relationships/hyperlink" Target="https://www.reddit.com/r/MonarchMoney/comments/1qgte8x/the_new_goals_system_is_a_massive_downgrade_and_i/" TargetMode="External"/><Relationship Id="rId48" Type="http://schemas.openxmlformats.org/officeDocument/2006/relationships/hyperlink" Target="https://www.reddit.com/r/MonarchMoney/comments/1tdirbz/monarch_budget_30_is_the_worst_thing_ive_e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Wise, Revolut, and Monarch: UX, UI, and product logic deep dive</dc:title>
  <dc:subject>Competitive analysis and product recommendations for Wollie</dc:subject>
  <dc:creator/>
  <cp:keywords>Wollie, couples, money planning, budgeting, UX, competitive research</cp:keywords>
  <dc:description>generated by python-docx</dc:description>
  <cp:lastModifiedBy/>
  <cp:revision>1</cp:revision>
  <dcterms:created xsi:type="dcterms:W3CDTF">2013-12-23T23:15:00Z</dcterms:created>
  <dcterms:modified xsi:type="dcterms:W3CDTF">2013-12-23T23:15:00Z</dcterms:modified>
  <cp:category/>
</cp:coreProperties>
</file>