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Calibri" w:hAnsi="Calibri" w:eastAsia="Calibri"/>
          <w:b/>
          <w:i w:val="0"/>
          <w:color w:val="ED6A3A"/>
          <w:sz w:val="20"/>
        </w:rPr>
        <w:t>WOLLIE  /  PRODUCT RESEARCH</w:t>
      </w:r>
    </w:p>
    <w:p>
      <w:pPr>
        <w:spacing w:after="280" w:line="247" w:lineRule="auto"/>
        <w:jc w:val="center"/>
      </w:pPr>
      <w:r>
        <w:rPr>
          <w:rFonts w:ascii="Calibri" w:hAnsi="Calibri" w:eastAsia="Calibri"/>
          <w:b/>
          <w:i w:val="0"/>
          <w:color w:val="082C4C"/>
          <w:sz w:val="56"/>
        </w:rPr>
        <w:t>Couples finance apps:</w:t>
        <w:br/>
        <w:t>product, UX and market research</w:t>
      </w:r>
    </w:p>
    <w:p>
      <w:pPr>
        <w:spacing w:after="680"/>
        <w:jc w:val="center"/>
      </w:pPr>
      <w:r>
        <w:rPr>
          <w:rFonts w:ascii="Calibri" w:hAnsi="Calibri" w:eastAsia="Calibri"/>
          <w:b w:val="0"/>
          <w:i w:val="0"/>
          <w:color w:val="667085"/>
          <w:sz w:val="28"/>
        </w:rPr>
        <w:t>What people use today, where it breaks, and the opportunity for Wollie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8EF" w:val="clear"/>
            <w:tcBorders>
              <w:top w:val="single" w:sz="12" w:color="ED6A3A"/>
              <w:bottom w:val="single" w:sz="12" w:color="ED6A3A"/>
            </w:tcBorders>
          </w:tcPr>
          <w:p>
            <w:pPr>
              <w:spacing w:before="0" w:after="0" w:line="264" w:lineRule="auto"/>
              <w:jc w:val="center"/>
            </w:pPr>
            <w:r>
              <w:rPr>
                <w:rFonts w:ascii="Calibri" w:hAnsi="Calibri" w:eastAsia="Calibri"/>
                <w:b/>
                <w:i w:val="0"/>
                <w:color w:val="082C4C"/>
                <w:sz w:val="22"/>
              </w:rPr>
              <w:t>Scope: European couples using joint, separate, or mixed accounts</w:t>
              <w:br/>
              <w:t>1 September 2026</w:t>
            </w:r>
          </w:p>
        </w:tc>
      </w:tr>
    </w:tbl>
    <w:p>
      <w:pPr>
        <w:spacing w:before="0" w:after="60" w:line="264" w:lineRule="auto"/>
        <w:jc w:val="center"/>
      </w:pPr>
      <w:r>
        <w:rPr>
          <w:rFonts w:ascii="Calibri" w:hAnsi="Calibri" w:eastAsia="Calibri"/>
          <w:b/>
          <w:i w:val="0"/>
          <w:color w:val="ED6A3A"/>
          <w:sz w:val="20"/>
        </w:rPr>
        <w:t>Research method</w:t>
      </w:r>
    </w:p>
    <w:p>
      <w:pPr>
        <w:spacing w:before="0" w:after="0" w:line="264" w:lineRule="auto"/>
        <w:jc w:val="center"/>
      </w:pPr>
      <w:r>
        <w:rPr>
          <w:rFonts w:ascii="Calibri" w:hAnsi="Calibri" w:eastAsia="Calibri"/>
          <w:b w:val="0"/>
          <w:i w:val="0"/>
          <w:color w:val="667085"/>
          <w:sz w:val="21"/>
        </w:rPr>
        <w:t>Official product documentation, public user discussions, and three safe zero-data trial accounts. No bank account, identity verification, money movement or paid subscription was used.</w:t>
      </w:r>
    </w:p>
    <w:p>
      <w:r>
        <w:br w:type="page"/>
      </w:r>
    </w:p>
    <w:p>
      <w:pPr>
        <w:pStyle w:val="Heading1"/>
        <w:keepNext/>
        <w:spacing w:before="0" w:after="80" w:line="264" w:lineRule="auto"/>
      </w:pPr>
      <w:r>
        <w:rPr>
          <w:rFonts w:ascii="Calibri" w:hAnsi="Calibri" w:eastAsia="Calibri"/>
          <w:b/>
          <w:i w:val="0"/>
          <w:color w:val="2E74B5"/>
          <w:sz w:val="32"/>
        </w:rPr>
        <w:t>Decision in one page</w:t>
      </w:r>
    </w:p>
    <w:p>
      <w:pPr>
        <w:spacing w:before="0" w:after="200" w:line="264" w:lineRule="auto"/>
      </w:pPr>
      <w:r>
        <w:rPr>
          <w:rFonts w:ascii="Calibri" w:hAnsi="Calibri" w:eastAsia="Calibri"/>
          <w:b w:val="0"/>
          <w:i w:val="0"/>
          <w:color w:val="082C4C"/>
          <w:sz w:val="24"/>
        </w:rPr>
        <w:t>Wollie should be a couples-first money planning layer over the accounts people already use. It should work for one joint account, separate personal accounts, and a mixture of both.</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FF0E9" w:val="clear"/>
            <w:tcBorders>
              <w:top w:val="single" w:sz="6" w:color="2E74B5"/>
              <w:bottom w:val="single" w:sz="6" w:color="2E74B5"/>
            </w:tcBorders>
            <w:vAlign w:val="center"/>
          </w:tcPr>
          <w:p>
            <w:pPr>
              <w:spacing w:before="0" w:after="0" w:line="264" w:lineRule="auto"/>
            </w:pPr>
            <w:r>
              <w:rPr>
                <w:rFonts w:ascii="Calibri" w:hAnsi="Calibri" w:eastAsia="Calibri"/>
                <w:b/>
                <w:i w:val="0"/>
                <w:color w:val="082C4C"/>
                <w:sz w:val="21"/>
              </w:rPr>
              <w:t xml:space="preserve">Recommendation  </w:t>
            </w:r>
            <w:r>
              <w:rPr>
                <w:rFonts w:ascii="Calibri" w:hAnsi="Calibri" w:eastAsia="Calibri"/>
                <w:b w:val="0"/>
                <w:i w:val="0"/>
                <w:color w:val="17212B"/>
                <w:sz w:val="21"/>
              </w:rPr>
              <w:t>Do not position Wollie as another bank or a generic expense tracker. Own the space between a couple’s existing accounts and the shared decisions they need to make.</w:t>
            </w:r>
          </w:p>
        </w:tc>
      </w:tr>
    </w:tbl>
    <w:p>
      <w:pPr>
        <w:spacing w:after="0"/>
      </w:pPr>
    </w:p>
    <w:p>
      <w:pPr>
        <w:pStyle w:val="Heading2"/>
        <w:keepNext/>
        <w:spacing w:before="240" w:after="80" w:line="264" w:lineRule="auto"/>
      </w:pPr>
      <w:r>
        <w:rPr>
          <w:rFonts w:ascii="Calibri" w:hAnsi="Calibri" w:eastAsia="Calibri"/>
          <w:b/>
          <w:i w:val="0"/>
          <w:color w:val="2E74B5"/>
          <w:sz w:val="26"/>
        </w:rPr>
        <w:t>The opportunity</w:t>
      </w:r>
    </w:p>
    <w:p>
      <w:pPr>
        <w:spacing w:before="0" w:after="120" w:line="264" w:lineRule="auto"/>
      </w:pPr>
      <w:r>
        <w:rPr>
          <w:rFonts w:ascii="Calibri" w:hAnsi="Calibri" w:eastAsia="Calibri"/>
          <w:b w:val="0"/>
          <w:i w:val="0"/>
          <w:color w:val="17212B"/>
          <w:sz w:val="22"/>
        </w:rPr>
        <w:t>Across the market, couples repeatedly trade simplicity for control. A bank can hold shared money. A personal finance app can budget it. Neither reliably gives a couple one plan that respects personal boundaries, calculates contributions and stays useful when only one person wants to operate it.</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90" w:type="dxa"/>
              <w:start w:w="120" w:type="dxa"/>
              <w:bottom w:w="90" w:type="dxa"/>
              <w:end w:w="120" w:type="dxa"/>
            </w:tcMar>
            <w:shd w:fill="EEF5FC" w:val="clear"/>
            <w:tcBorders>
              <w:top w:val="single" w:sz="6" w:color="2E74B5"/>
              <w:bottom w:val="single" w:sz="6" w:color="2E74B5"/>
            </w:tcBorders>
          </w:tcPr>
          <w:p>
            <w:pPr>
              <w:spacing w:before="0" w:after="0" w:line="264" w:lineRule="auto"/>
            </w:pPr>
            <w:r>
              <w:rPr>
                <w:rFonts w:ascii="Calibri" w:hAnsi="Calibri" w:eastAsia="Calibri"/>
                <w:b/>
                <w:i w:val="0"/>
                <w:color w:val="ED6A3A"/>
                <w:sz w:val="32"/>
              </w:rPr>
              <w:t>1</w:t>
              <w:br/>
            </w:r>
            <w:r>
              <w:rPr>
                <w:rFonts w:ascii="Calibri" w:hAnsi="Calibri" w:eastAsia="Calibri"/>
                <w:b/>
                <w:i w:val="0"/>
                <w:color w:val="082C4C"/>
                <w:sz w:val="20"/>
              </w:rPr>
              <w:t>Privacy by design</w:t>
              <w:br/>
            </w:r>
            <w:r>
              <w:rPr>
                <w:rFonts w:ascii="Calibri" w:hAnsi="Calibri" w:eastAsia="Calibri"/>
                <w:b w:val="0"/>
                <w:i w:val="0"/>
                <w:color w:val="17212B"/>
                <w:sz w:val="18"/>
              </w:rPr>
              <w:t>Private, shared and household-total-only views. Never force full transaction visibility.</w:t>
            </w:r>
          </w:p>
        </w:tc>
        <w:tc>
          <w:tcPr>
            <w:tcW w:type="dxa" w:w="3120"/>
            <w:tcMar>
              <w:top w:w="90" w:type="dxa"/>
              <w:start w:w="120" w:type="dxa"/>
              <w:bottom w:w="90" w:type="dxa"/>
              <w:end w:w="120" w:type="dxa"/>
            </w:tcMar>
            <w:shd w:fill="EEF5FC" w:val="clear"/>
            <w:tcBorders>
              <w:top w:val="single" w:sz="6" w:color="2E74B5"/>
              <w:bottom w:val="single" w:sz="6" w:color="2E74B5"/>
            </w:tcBorders>
          </w:tcPr>
          <w:p>
            <w:pPr>
              <w:spacing w:before="0" w:after="0" w:line="264" w:lineRule="auto"/>
            </w:pPr>
            <w:r>
              <w:rPr>
                <w:rFonts w:ascii="Calibri" w:hAnsi="Calibri" w:eastAsia="Calibri"/>
                <w:b/>
                <w:i w:val="0"/>
                <w:color w:val="ED6A3A"/>
                <w:sz w:val="32"/>
              </w:rPr>
              <w:t>2</w:t>
              <w:br/>
            </w:r>
            <w:r>
              <w:rPr>
                <w:rFonts w:ascii="Calibri" w:hAnsi="Calibri" w:eastAsia="Calibri"/>
                <w:b/>
                <w:i w:val="0"/>
                <w:color w:val="082C4C"/>
                <w:sz w:val="20"/>
              </w:rPr>
              <w:t>Contribution rules</w:t>
              <w:br/>
            </w:r>
            <w:r>
              <w:rPr>
                <w:rFonts w:ascii="Calibri" w:hAnsi="Calibri" w:eastAsia="Calibri"/>
                <w:b w:val="0"/>
                <w:i w:val="0"/>
                <w:color w:val="17212B"/>
                <w:sz w:val="18"/>
              </w:rPr>
              <w:t>Equal, fixed and income-proportional funding for shared spending and goals.</w:t>
            </w:r>
          </w:p>
        </w:tc>
        <w:tc>
          <w:tcPr>
            <w:tcW w:type="dxa" w:w="3120"/>
            <w:tcMar>
              <w:top w:w="90" w:type="dxa"/>
              <w:start w:w="120" w:type="dxa"/>
              <w:bottom w:w="90" w:type="dxa"/>
              <w:end w:w="120" w:type="dxa"/>
            </w:tcMar>
            <w:shd w:fill="EEF5FC" w:val="clear"/>
            <w:tcBorders>
              <w:top w:val="single" w:sz="6" w:color="2E74B5"/>
              <w:bottom w:val="single" w:sz="6" w:color="2E74B5"/>
            </w:tcBorders>
          </w:tcPr>
          <w:p>
            <w:pPr>
              <w:spacing w:before="0" w:after="0" w:line="264" w:lineRule="auto"/>
            </w:pPr>
            <w:r>
              <w:rPr>
                <w:rFonts w:ascii="Calibri" w:hAnsi="Calibri" w:eastAsia="Calibri"/>
                <w:b/>
                <w:i w:val="0"/>
                <w:color w:val="ED6A3A"/>
                <w:sz w:val="32"/>
              </w:rPr>
              <w:t>3</w:t>
              <w:br/>
            </w:r>
            <w:r>
              <w:rPr>
                <w:rFonts w:ascii="Calibri" w:hAnsi="Calibri" w:eastAsia="Calibri"/>
                <w:b/>
                <w:i w:val="0"/>
                <w:color w:val="082C4C"/>
                <w:sz w:val="20"/>
              </w:rPr>
              <w:t>Partner Light</w:t>
              <w:br/>
            </w:r>
            <w:r>
              <w:rPr>
                <w:rFonts w:ascii="Calibri" w:hAnsi="Calibri" w:eastAsia="Calibri"/>
                <w:b w:val="0"/>
                <w:i w:val="0"/>
                <w:color w:val="17212B"/>
                <w:sz w:val="18"/>
              </w:rPr>
              <w:t>A calm safe-to-spend and approval view for the less hands-on partner.</w:t>
            </w:r>
          </w:p>
        </w:tc>
      </w:tr>
    </w:tbl>
    <w:p>
      <w:pPr>
        <w:pStyle w:val="Heading2"/>
        <w:keepNext/>
        <w:spacing w:before="240" w:after="80" w:line="264" w:lineRule="auto"/>
      </w:pPr>
      <w:r>
        <w:rPr>
          <w:rFonts w:ascii="Calibri" w:hAnsi="Calibri" w:eastAsia="Calibri"/>
          <w:b/>
          <w:i w:val="0"/>
          <w:color w:val="2E74B5"/>
          <w:sz w:val="26"/>
        </w:rPr>
        <w:t>A critical UI distinction</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EVERYDAY SPENDING</w:t>
            </w:r>
          </w:p>
        </w:tc>
        <w:tc>
          <w:tcPr>
            <w:tcW w:type="dxa" w:w="468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FUTURE RESERVES</w:t>
            </w:r>
          </w:p>
        </w:tc>
      </w:tr>
      <w:tr>
        <w:trPr>
          <w:cantSplit/>
        </w:trPr>
        <w:tc>
          <w:tcPr>
            <w:tcW w:type="dxa" w:w="4680"/>
            <w:tcMar>
              <w:top w:w="90" w:type="dxa"/>
              <w:start w:w="120" w:type="dxa"/>
              <w:bottom w:w="90" w:type="dxa"/>
              <w:end w:w="120" w:type="dxa"/>
            </w:tcMar>
            <w:vAlign w:val="top"/>
          </w:tcPr>
          <w:p>
            <w:pPr>
              <w:spacing w:before="0" w:after="20" w:line="264" w:lineRule="auto"/>
            </w:pPr>
            <w:r>
              <w:rPr>
                <w:rFonts w:ascii="Calibri" w:hAnsi="Calibri" w:eastAsia="Calibri"/>
                <w:b w:val="0"/>
                <w:i w:val="0"/>
                <w:color w:val="17212B"/>
                <w:sz w:val="18"/>
              </w:rPr>
              <w:t>Food, travel, rent and discretionary categories.</w:t>
            </w:r>
          </w:p>
        </w:tc>
        <w:tc>
          <w:tcPr>
            <w:tcW w:type="dxa" w:w="4680"/>
            <w:tcMar>
              <w:top w:w="90" w:type="dxa"/>
              <w:start w:w="120" w:type="dxa"/>
              <w:bottom w:w="90" w:type="dxa"/>
              <w:end w:w="120" w:type="dxa"/>
            </w:tcMar>
            <w:vAlign w:val="top"/>
          </w:tcPr>
          <w:p>
            <w:pPr>
              <w:spacing w:before="0" w:after="20" w:line="264" w:lineRule="auto"/>
            </w:pPr>
            <w:r>
              <w:rPr>
                <w:rFonts w:ascii="Calibri" w:hAnsi="Calibri" w:eastAsia="Calibri"/>
                <w:b w:val="0"/>
                <w:i w:val="0"/>
                <w:color w:val="17212B"/>
                <w:sz w:val="18"/>
              </w:rPr>
              <w:t>Savings, tax, pension, investment and future purchases.</w:t>
            </w:r>
          </w:p>
        </w:tc>
      </w:tr>
      <w:tr>
        <w:trPr>
          <w:cantSplit/>
        </w:trPr>
        <w:tc>
          <w:tcPr>
            <w:tcW w:type="dxa" w:w="4680"/>
            <w:tcMar>
              <w:top w:w="90" w:type="dxa"/>
              <w:start w:w="120" w:type="dxa"/>
              <w:bottom w:w="90" w:type="dxa"/>
              <w:end w:w="120" w:type="dxa"/>
            </w:tcMar>
            <w:vAlign w:val="top"/>
          </w:tcPr>
          <w:p>
            <w:pPr>
              <w:spacing w:before="0" w:after="20" w:line="264" w:lineRule="auto"/>
            </w:pPr>
            <w:r>
              <w:rPr>
                <w:rFonts w:ascii="Calibri" w:hAnsi="Calibri" w:eastAsia="Calibri"/>
                <w:b w:val="0"/>
                <w:i w:val="0"/>
                <w:color w:val="17212B"/>
                <w:sz w:val="18"/>
              </w:rPr>
              <w:t>A purchase reduces what is left to spend this month.</w:t>
            </w:r>
          </w:p>
        </w:tc>
        <w:tc>
          <w:tcPr>
            <w:tcW w:type="dxa" w:w="4680"/>
            <w:tcMar>
              <w:top w:w="90" w:type="dxa"/>
              <w:start w:w="120" w:type="dxa"/>
              <w:bottom w:w="90" w:type="dxa"/>
              <w:end w:w="120" w:type="dxa"/>
            </w:tcMar>
            <w:vAlign w:val="top"/>
          </w:tcPr>
          <w:p>
            <w:pPr>
              <w:spacing w:before="0" w:after="20" w:line="264" w:lineRule="auto"/>
            </w:pPr>
            <w:r>
              <w:rPr>
                <w:rFonts w:ascii="Calibri" w:hAnsi="Calibri" w:eastAsia="Calibri"/>
                <w:b w:val="0"/>
                <w:i w:val="0"/>
                <w:color w:val="17212B"/>
                <w:sz w:val="18"/>
              </w:rPr>
              <w:t>Funding builds progress toward a target. It is not spending.</w:t>
            </w:r>
          </w:p>
        </w:tc>
      </w:tr>
    </w:tbl>
    <w:p>
      <w:pPr>
        <w:spacing w:before="0" w:after="0" w:line="264" w:lineRule="auto"/>
      </w:pPr>
      <w:r>
        <w:rPr>
          <w:rFonts w:ascii="Calibri" w:hAnsi="Calibri" w:eastAsia="Calibri"/>
          <w:b w:val="0"/>
          <w:i/>
          <w:color w:val="667085"/>
          <w:sz w:val="21"/>
        </w:rPr>
        <w:t>Use red only for genuine overspending or an actionable overdue shortfall. A partially funded reserve is neutral progress, not a warning.</w:t>
      </w:r>
    </w:p>
    <w:p>
      <w:r>
        <w:br w:type="page"/>
      </w:r>
    </w:p>
    <w:p>
      <w:pPr>
        <w:pStyle w:val="Heading1"/>
        <w:keepNext/>
        <w:spacing w:before="0" w:after="80" w:line="264" w:lineRule="auto"/>
      </w:pPr>
      <w:r>
        <w:rPr>
          <w:rFonts w:ascii="Calibri" w:hAnsi="Calibri" w:eastAsia="Calibri"/>
          <w:b/>
          <w:i w:val="0"/>
          <w:color w:val="2E74B5"/>
          <w:sz w:val="32"/>
        </w:rPr>
        <w:t>What couples use today</w:t>
      </w:r>
    </w:p>
    <w:p>
      <w:pPr>
        <w:spacing w:before="0" w:after="160" w:line="264" w:lineRule="auto"/>
      </w:pPr>
      <w:r>
        <w:rPr>
          <w:rFonts w:ascii="Calibri" w:hAnsi="Calibri" w:eastAsia="Calibri"/>
          <w:b w:val="0"/>
          <w:i w:val="0"/>
          <w:color w:val="667085"/>
          <w:sz w:val="22"/>
        </w:rPr>
        <w:t>Direct planning products and adjacent banking apps solve different pieces of the same household problem. The comparison below focuses on their household model, not every individual feature.</w:t>
      </w:r>
    </w:p>
    <w:tbl>
      <w:tblPr>
        <w:tblW w:type="dxa" w:w="9360"/>
        <w:jc w:val="left"/>
        <w:tblLayout w:type="fixed"/>
        <w:tblLook w:firstColumn="1" w:firstRow="1" w:lastColumn="0" w:lastRow="0" w:noHBand="0" w:noVBand="1" w:val="04A0"/>
        <w:tblInd w:w="120" w:type="dxa"/>
      </w:tblPr>
      <w:tblGrid>
        <w:gridCol w:w="1650"/>
        <w:gridCol w:w="2200"/>
        <w:gridCol w:w="2550"/>
        <w:gridCol w:w="2960"/>
      </w:tblGrid>
      <w:tr>
        <w:trPr>
          <w:cantSplit/>
          <w:tblHeader w:val="true"/>
        </w:trPr>
        <w:tc>
          <w:tcPr>
            <w:tcW w:type="dxa" w:w="165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PRODUCT</w:t>
            </w:r>
          </w:p>
        </w:tc>
        <w:tc>
          <w:tcPr>
            <w:tcW w:type="dxa" w:w="220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BEST AT</w:t>
            </w:r>
          </w:p>
        </w:tc>
        <w:tc>
          <w:tcPr>
            <w:tcW w:type="dxa" w:w="255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HOUSEHOLD MODEL</w:t>
            </w:r>
          </w:p>
        </w:tc>
        <w:tc>
          <w:tcPr>
            <w:tcW w:type="dxa" w:w="296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KEY LESSON FOR WOLLIE</w:t>
            </w:r>
          </w:p>
        </w:tc>
      </w:tr>
      <w:tr>
        <w:trPr>
          <w:cantSplit/>
        </w:trPr>
        <w:tc>
          <w:tcPr>
            <w:tcW w:type="dxa" w:w="1650"/>
            <w:vAlign w:val="top"/>
          </w:tcPr>
          <w:p>
            <w:pPr>
              <w:spacing w:before="0" w:after="20" w:line="264" w:lineRule="auto"/>
            </w:pPr>
            <w:r>
              <w:rPr>
                <w:rFonts w:ascii="Calibri" w:hAnsi="Calibri" w:eastAsia="Calibri"/>
                <w:b w:val="0"/>
                <w:i w:val="0"/>
                <w:color w:val="17212B"/>
                <w:sz w:val="18"/>
              </w:rPr>
              <w:t>YNAB</w:t>
            </w:r>
          </w:p>
        </w:tc>
        <w:tc>
          <w:tcPr>
            <w:tcW w:type="dxa" w:w="2200"/>
            <w:vAlign w:val="top"/>
          </w:tcPr>
          <w:p>
            <w:pPr>
              <w:spacing w:before="0" w:after="20" w:line="264" w:lineRule="auto"/>
            </w:pPr>
            <w:r>
              <w:rPr>
                <w:rFonts w:ascii="Calibri" w:hAnsi="Calibri" w:eastAsia="Calibri"/>
                <w:b w:val="0"/>
                <w:i w:val="0"/>
                <w:color w:val="17212B"/>
                <w:sz w:val="18"/>
              </w:rPr>
              <w:t>Deep intentional budgeting.</w:t>
            </w:r>
          </w:p>
        </w:tc>
        <w:tc>
          <w:tcPr>
            <w:tcW w:type="dxa" w:w="2550"/>
            <w:vAlign w:val="top"/>
          </w:tcPr>
          <w:p>
            <w:pPr>
              <w:spacing w:before="0" w:after="20" w:line="264" w:lineRule="auto"/>
            </w:pPr>
            <w:r>
              <w:rPr>
                <w:rFonts w:ascii="Calibri" w:hAnsi="Calibri" w:eastAsia="Calibri"/>
                <w:b w:val="0"/>
                <w:i w:val="0"/>
                <w:color w:val="17212B"/>
                <w:sz w:val="18"/>
              </w:rPr>
              <w:t>One subscription can share with up to five people. Joint, separate and mixed setups are possible.</w:t>
            </w:r>
          </w:p>
        </w:tc>
        <w:tc>
          <w:tcPr>
            <w:tcW w:type="dxa" w:w="2960"/>
            <w:vAlign w:val="top"/>
          </w:tcPr>
          <w:p>
            <w:pPr>
              <w:spacing w:before="0" w:after="20" w:line="264" w:lineRule="auto"/>
            </w:pPr>
            <w:r>
              <w:rPr>
                <w:rFonts w:ascii="Calibri" w:hAnsi="Calibri" w:eastAsia="Calibri"/>
                <w:b w:val="0"/>
                <w:i w:val="0"/>
                <w:color w:val="17212B"/>
                <w:sz w:val="18"/>
              </w:rPr>
              <w:t>Offer one simpler default household plan and granular visibility.</w:t>
            </w:r>
          </w:p>
        </w:tc>
      </w:tr>
      <w:tr>
        <w:trPr>
          <w:cantSplit/>
        </w:trPr>
        <w:tc>
          <w:tcPr>
            <w:tcW w:type="dxa" w:w="1650"/>
            <w:vAlign w:val="top"/>
          </w:tcPr>
          <w:p>
            <w:pPr>
              <w:spacing w:before="0" w:after="20" w:line="264" w:lineRule="auto"/>
            </w:pPr>
            <w:r>
              <w:rPr>
                <w:rFonts w:ascii="Calibri" w:hAnsi="Calibri" w:eastAsia="Calibri"/>
                <w:b w:val="0"/>
                <w:i w:val="0"/>
                <w:color w:val="17212B"/>
                <w:sz w:val="18"/>
              </w:rPr>
              <w:t>Monarch</w:t>
            </w:r>
          </w:p>
        </w:tc>
        <w:tc>
          <w:tcPr>
            <w:tcW w:type="dxa" w:w="2200"/>
            <w:vAlign w:val="top"/>
          </w:tcPr>
          <w:p>
            <w:pPr>
              <w:spacing w:before="0" w:after="20" w:line="264" w:lineRule="auto"/>
            </w:pPr>
            <w:r>
              <w:rPr>
                <w:rFonts w:ascii="Calibri" w:hAnsi="Calibri" w:eastAsia="Calibri"/>
                <w:b w:val="0"/>
                <w:i w:val="0"/>
                <w:color w:val="17212B"/>
                <w:sz w:val="18"/>
              </w:rPr>
              <w:t>One household dashboard across both partners’ accounts.</w:t>
            </w:r>
          </w:p>
        </w:tc>
        <w:tc>
          <w:tcPr>
            <w:tcW w:type="dxa" w:w="2550"/>
            <w:vAlign w:val="top"/>
          </w:tcPr>
          <w:p>
            <w:pPr>
              <w:spacing w:before="0" w:after="20" w:line="264" w:lineRule="auto"/>
            </w:pPr>
            <w:r>
              <w:rPr>
                <w:rFonts w:ascii="Calibri" w:hAnsi="Calibri" w:eastAsia="Calibri"/>
                <w:b w:val="0"/>
                <w:i w:val="0"/>
                <w:color w:val="17212B"/>
                <w:sz w:val="18"/>
              </w:rPr>
              <w:t>Separate logins and shared data under one subscription.</w:t>
            </w:r>
          </w:p>
        </w:tc>
        <w:tc>
          <w:tcPr>
            <w:tcW w:type="dxa" w:w="2960"/>
            <w:vAlign w:val="top"/>
          </w:tcPr>
          <w:p>
            <w:pPr>
              <w:spacing w:before="0" w:after="20" w:line="264" w:lineRule="auto"/>
            </w:pPr>
            <w:r>
              <w:rPr>
                <w:rFonts w:ascii="Calibri" w:hAnsi="Calibri" w:eastAsia="Calibri"/>
                <w:b w:val="0"/>
                <w:i w:val="0"/>
                <w:color w:val="17212B"/>
                <w:sz w:val="18"/>
              </w:rPr>
              <w:t>Never make account and transaction visibility all-or-nothing.</w:t>
            </w:r>
          </w:p>
        </w:tc>
      </w:tr>
      <w:tr>
        <w:trPr>
          <w:cantSplit/>
        </w:trPr>
        <w:tc>
          <w:tcPr>
            <w:tcW w:type="dxa" w:w="1650"/>
            <w:vAlign w:val="top"/>
          </w:tcPr>
          <w:p>
            <w:pPr>
              <w:spacing w:before="0" w:after="20" w:line="264" w:lineRule="auto"/>
            </w:pPr>
            <w:r>
              <w:rPr>
                <w:rFonts w:ascii="Calibri" w:hAnsi="Calibri" w:eastAsia="Calibri"/>
                <w:b w:val="0"/>
                <w:i w:val="0"/>
                <w:color w:val="17212B"/>
                <w:sz w:val="18"/>
              </w:rPr>
              <w:t>Wallet</w:t>
            </w:r>
          </w:p>
        </w:tc>
        <w:tc>
          <w:tcPr>
            <w:tcW w:type="dxa" w:w="2200"/>
            <w:vAlign w:val="top"/>
          </w:tcPr>
          <w:p>
            <w:pPr>
              <w:spacing w:before="0" w:after="20" w:line="264" w:lineRule="auto"/>
            </w:pPr>
            <w:r>
              <w:rPr>
                <w:rFonts w:ascii="Calibri" w:hAnsi="Calibri" w:eastAsia="Calibri"/>
                <w:b w:val="0"/>
                <w:i w:val="0"/>
                <w:color w:val="17212B"/>
                <w:sz w:val="18"/>
              </w:rPr>
              <w:t>Clear personal dashboard and permissions.</w:t>
            </w:r>
          </w:p>
        </w:tc>
        <w:tc>
          <w:tcPr>
            <w:tcW w:type="dxa" w:w="2550"/>
            <w:vAlign w:val="top"/>
          </w:tcPr>
          <w:p>
            <w:pPr>
              <w:spacing w:before="0" w:after="20" w:line="264" w:lineRule="auto"/>
            </w:pPr>
            <w:r>
              <w:rPr>
                <w:rFonts w:ascii="Calibri" w:hAnsi="Calibri" w:eastAsia="Calibri"/>
                <w:b w:val="0"/>
                <w:i w:val="0"/>
                <w:color w:val="17212B"/>
                <w:sz w:val="18"/>
              </w:rPr>
              <w:t>Premium owner creates a group; members switch between personal and group contexts.</w:t>
            </w:r>
          </w:p>
        </w:tc>
        <w:tc>
          <w:tcPr>
            <w:tcW w:type="dxa" w:w="2960"/>
            <w:vAlign w:val="top"/>
          </w:tcPr>
          <w:p>
            <w:pPr>
              <w:spacing w:before="0" w:after="20" w:line="264" w:lineRule="auto"/>
            </w:pPr>
            <w:r>
              <w:rPr>
                <w:rFonts w:ascii="Calibri" w:hAnsi="Calibri" w:eastAsia="Calibri"/>
                <w:b w:val="0"/>
                <w:i w:val="0"/>
                <w:color w:val="17212B"/>
                <w:sz w:val="18"/>
              </w:rPr>
              <w:t>Do not force a context switch for ‘my’ versus ‘our’ money.</w:t>
            </w:r>
          </w:p>
        </w:tc>
      </w:tr>
      <w:tr>
        <w:trPr>
          <w:cantSplit/>
        </w:trPr>
        <w:tc>
          <w:tcPr>
            <w:tcW w:type="dxa" w:w="1650"/>
            <w:vAlign w:val="top"/>
          </w:tcPr>
          <w:p>
            <w:pPr>
              <w:spacing w:before="0" w:after="20" w:line="264" w:lineRule="auto"/>
            </w:pPr>
            <w:r>
              <w:rPr>
                <w:rFonts w:ascii="Calibri" w:hAnsi="Calibri" w:eastAsia="Calibri"/>
                <w:b w:val="0"/>
                <w:i w:val="0"/>
                <w:color w:val="17212B"/>
                <w:sz w:val="18"/>
              </w:rPr>
              <w:t>Spendee</w:t>
            </w:r>
          </w:p>
        </w:tc>
        <w:tc>
          <w:tcPr>
            <w:tcW w:type="dxa" w:w="2200"/>
            <w:vAlign w:val="top"/>
          </w:tcPr>
          <w:p>
            <w:pPr>
              <w:spacing w:before="0" w:after="20" w:line="264" w:lineRule="auto"/>
            </w:pPr>
            <w:r>
              <w:rPr>
                <w:rFonts w:ascii="Calibri" w:hAnsi="Calibri" w:eastAsia="Calibri"/>
                <w:b w:val="0"/>
                <w:i w:val="0"/>
                <w:color w:val="17212B"/>
                <w:sz w:val="18"/>
              </w:rPr>
              <w:t>Simple wallet and category model.</w:t>
            </w:r>
          </w:p>
        </w:tc>
        <w:tc>
          <w:tcPr>
            <w:tcW w:type="dxa" w:w="2550"/>
            <w:vAlign w:val="top"/>
          </w:tcPr>
          <w:p>
            <w:pPr>
              <w:spacing w:before="0" w:after="20" w:line="264" w:lineRule="auto"/>
            </w:pPr>
            <w:r>
              <w:rPr>
                <w:rFonts w:ascii="Calibri" w:hAnsi="Calibri" w:eastAsia="Calibri"/>
                <w:b w:val="0"/>
                <w:i w:val="0"/>
                <w:color w:val="17212B"/>
                <w:sz w:val="18"/>
              </w:rPr>
              <w:t>Shared wallet owned by one person; bank wallets cannot be shared.</w:t>
            </w:r>
          </w:p>
        </w:tc>
        <w:tc>
          <w:tcPr>
            <w:tcW w:type="dxa" w:w="2960"/>
            <w:vAlign w:val="top"/>
          </w:tcPr>
          <w:p>
            <w:pPr>
              <w:spacing w:before="0" w:after="20" w:line="264" w:lineRule="auto"/>
            </w:pPr>
            <w:r>
              <w:rPr>
                <w:rFonts w:ascii="Calibri" w:hAnsi="Calibri" w:eastAsia="Calibri"/>
                <w:b w:val="0"/>
                <w:i w:val="0"/>
                <w:color w:val="17212B"/>
                <w:sz w:val="18"/>
              </w:rPr>
              <w:t>A shared plan must interpret both bank-linked and manual money.</w:t>
            </w:r>
          </w:p>
        </w:tc>
      </w:tr>
      <w:tr>
        <w:trPr>
          <w:cantSplit/>
        </w:trPr>
        <w:tc>
          <w:tcPr>
            <w:tcW w:type="dxa" w:w="1650"/>
            <w:vAlign w:val="top"/>
          </w:tcPr>
          <w:p>
            <w:pPr>
              <w:spacing w:before="0" w:after="20" w:line="264" w:lineRule="auto"/>
            </w:pPr>
            <w:r>
              <w:rPr>
                <w:rFonts w:ascii="Calibri" w:hAnsi="Calibri" w:eastAsia="Calibri"/>
                <w:b w:val="0"/>
                <w:i w:val="0"/>
                <w:color w:val="17212B"/>
                <w:sz w:val="18"/>
              </w:rPr>
              <w:t>Revolut</w:t>
            </w:r>
          </w:p>
        </w:tc>
        <w:tc>
          <w:tcPr>
            <w:tcW w:type="dxa" w:w="2200"/>
            <w:vAlign w:val="top"/>
          </w:tcPr>
          <w:p>
            <w:pPr>
              <w:spacing w:before="0" w:after="20" w:line="264" w:lineRule="auto"/>
            </w:pPr>
            <w:r>
              <w:rPr>
                <w:rFonts w:ascii="Calibri" w:hAnsi="Calibri" w:eastAsia="Calibri"/>
                <w:b w:val="0"/>
                <w:i w:val="0"/>
                <w:color w:val="17212B"/>
                <w:sz w:val="18"/>
              </w:rPr>
              <w:t>Joint account behaviour, cards and Pockets.</w:t>
            </w:r>
          </w:p>
        </w:tc>
        <w:tc>
          <w:tcPr>
            <w:tcW w:type="dxa" w:w="2550"/>
            <w:vAlign w:val="top"/>
          </w:tcPr>
          <w:p>
            <w:pPr>
              <w:spacing w:before="0" w:after="20" w:line="264" w:lineRule="auto"/>
            </w:pPr>
            <w:r>
              <w:rPr>
                <w:rFonts w:ascii="Calibri" w:hAnsi="Calibri" w:eastAsia="Calibri"/>
                <w:b w:val="0"/>
                <w:i w:val="0"/>
                <w:color w:val="17212B"/>
                <w:sz w:val="18"/>
              </w:rPr>
              <w:t>A true joint account for eligible customers.</w:t>
            </w:r>
          </w:p>
        </w:tc>
        <w:tc>
          <w:tcPr>
            <w:tcW w:type="dxa" w:w="2960"/>
            <w:vAlign w:val="top"/>
          </w:tcPr>
          <w:p>
            <w:pPr>
              <w:spacing w:before="0" w:after="20" w:line="264" w:lineRule="auto"/>
            </w:pPr>
            <w:r>
              <w:rPr>
                <w:rFonts w:ascii="Calibri" w:hAnsi="Calibri" w:eastAsia="Calibri"/>
                <w:b w:val="0"/>
                <w:i w:val="0"/>
                <w:color w:val="17212B"/>
                <w:sz w:val="18"/>
              </w:rPr>
              <w:t>Meet the familiar bank mental model without becoming a bank.</w:t>
            </w:r>
          </w:p>
        </w:tc>
      </w:tr>
      <w:tr>
        <w:trPr>
          <w:cantSplit/>
        </w:trPr>
        <w:tc>
          <w:tcPr>
            <w:tcW w:type="dxa" w:w="1650"/>
            <w:vAlign w:val="top"/>
          </w:tcPr>
          <w:p>
            <w:pPr>
              <w:spacing w:before="0" w:after="20" w:line="264" w:lineRule="auto"/>
            </w:pPr>
            <w:r>
              <w:rPr>
                <w:rFonts w:ascii="Calibri" w:hAnsi="Calibri" w:eastAsia="Calibri"/>
                <w:b w:val="0"/>
                <w:i w:val="0"/>
                <w:color w:val="17212B"/>
                <w:sz w:val="18"/>
              </w:rPr>
              <w:t>Wise</w:t>
            </w:r>
          </w:p>
        </w:tc>
        <w:tc>
          <w:tcPr>
            <w:tcW w:type="dxa" w:w="2200"/>
            <w:vAlign w:val="top"/>
          </w:tcPr>
          <w:p>
            <w:pPr>
              <w:spacing w:before="0" w:after="20" w:line="264" w:lineRule="auto"/>
            </w:pPr>
            <w:r>
              <w:rPr>
                <w:rFonts w:ascii="Calibri" w:hAnsi="Calibri" w:eastAsia="Calibri"/>
                <w:b w:val="0"/>
                <w:i w:val="0"/>
                <w:color w:val="17212B"/>
                <w:sz w:val="18"/>
              </w:rPr>
              <w:t>Cross-border money and controlled shared spending.</w:t>
            </w:r>
          </w:p>
        </w:tc>
        <w:tc>
          <w:tcPr>
            <w:tcW w:type="dxa" w:w="2550"/>
            <w:vAlign w:val="top"/>
          </w:tcPr>
          <w:p>
            <w:pPr>
              <w:spacing w:before="0" w:after="20" w:line="264" w:lineRule="auto"/>
            </w:pPr>
            <w:r>
              <w:rPr>
                <w:rFonts w:ascii="Calibri" w:hAnsi="Calibri" w:eastAsia="Calibri"/>
                <w:b w:val="0"/>
                <w:i w:val="0"/>
                <w:color w:val="17212B"/>
                <w:sz w:val="18"/>
              </w:rPr>
              <w:t>Spend-with-others group model in supported markets.</w:t>
            </w:r>
          </w:p>
        </w:tc>
        <w:tc>
          <w:tcPr>
            <w:tcW w:type="dxa" w:w="2960"/>
            <w:vAlign w:val="top"/>
          </w:tcPr>
          <w:p>
            <w:pPr>
              <w:spacing w:before="0" w:after="20" w:line="264" w:lineRule="auto"/>
            </w:pPr>
            <w:r>
              <w:rPr>
                <w:rFonts w:ascii="Calibri" w:hAnsi="Calibri" w:eastAsia="Calibri"/>
                <w:b w:val="0"/>
                <w:i w:val="0"/>
                <w:color w:val="17212B"/>
                <w:sz w:val="18"/>
              </w:rPr>
              <w:t>Be crystal-clear about ownership and what Wollie never does.</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FF7F0" w:val="clear"/>
            <w:tcBorders>
              <w:top w:val="single" w:sz="6" w:color="2E74B5"/>
              <w:bottom w:val="single" w:sz="6" w:color="2E74B5"/>
            </w:tcBorders>
            <w:vAlign w:val="center"/>
          </w:tcPr>
          <w:p>
            <w:pPr>
              <w:spacing w:before="0" w:after="0" w:line="264" w:lineRule="auto"/>
            </w:pPr>
            <w:r>
              <w:rPr>
                <w:rFonts w:ascii="Calibri" w:hAnsi="Calibri" w:eastAsia="Calibri"/>
                <w:b/>
                <w:i w:val="0"/>
                <w:color w:val="082C4C"/>
                <w:sz w:val="21"/>
              </w:rPr>
              <w:t xml:space="preserve">Market reading  </w:t>
            </w:r>
            <w:r>
              <w:rPr>
                <w:rFonts w:ascii="Calibri" w:hAnsi="Calibri" w:eastAsia="Calibri"/>
                <w:b w:val="0"/>
                <w:i w:val="0"/>
                <w:color w:val="17212B"/>
                <w:sz w:val="21"/>
              </w:rPr>
              <w:t>Revolut and Wise are important behaviour-setters, but they are not the same product category. Wollie should be the cross-bank planning layer that lets a couple understand money held elsewhere.</w:t>
            </w:r>
          </w:p>
        </w:tc>
      </w:tr>
    </w:tbl>
    <w:p>
      <w:pPr>
        <w:spacing w:after="0"/>
      </w:pPr>
    </w:p>
    <w:p>
      <w:pPr>
        <w:pStyle w:val="Heading2"/>
        <w:keepNext/>
        <w:spacing w:before="240" w:after="80" w:line="264" w:lineRule="auto"/>
      </w:pPr>
      <w:r>
        <w:rPr>
          <w:rFonts w:ascii="Calibri" w:hAnsi="Calibri" w:eastAsia="Calibri"/>
          <w:b/>
          <w:i w:val="0"/>
          <w:color w:val="2E74B5"/>
          <w:sz w:val="26"/>
        </w:rPr>
        <w:t>The main gaps</w:t>
      </w:r>
    </w:p>
    <w:p>
      <w:pPr>
        <w:pStyle w:val="ListBullet"/>
        <w:spacing w:before="0" w:after="40" w:line="264" w:lineRule="auto"/>
      </w:pPr>
      <w:r>
        <w:rPr>
          <w:rFonts w:ascii="Calibri" w:hAnsi="Calibri" w:eastAsia="Calibri"/>
          <w:b w:val="0"/>
          <w:i w:val="0"/>
          <w:color w:val="17212B"/>
          <w:sz w:val="21"/>
        </w:rPr>
        <w:t>A shared plan usually means broad visibility, multiple budgets or a separate shared-wallet context.</w:t>
      </w:r>
    </w:p>
    <w:p>
      <w:pPr>
        <w:pStyle w:val="ListBullet"/>
        <w:spacing w:before="0" w:after="40" w:line="264" w:lineRule="auto"/>
      </w:pPr>
      <w:r>
        <w:rPr>
          <w:rFonts w:ascii="Calibri" w:hAnsi="Calibri" w:eastAsia="Calibri"/>
          <w:b w:val="0"/>
          <w:i w:val="0"/>
          <w:color w:val="17212B"/>
          <w:sz w:val="21"/>
        </w:rPr>
        <w:t>Contribution logic is often manual: who paid, who owes, and how income should fund the plan.</w:t>
      </w:r>
    </w:p>
    <w:p>
      <w:pPr>
        <w:pStyle w:val="ListBullet"/>
        <w:spacing w:before="0" w:after="40" w:line="264" w:lineRule="auto"/>
      </w:pPr>
      <w:r>
        <w:rPr>
          <w:rFonts w:ascii="Calibri" w:hAnsi="Calibri" w:eastAsia="Calibri"/>
          <w:b w:val="0"/>
          <w:i w:val="0"/>
          <w:color w:val="17212B"/>
          <w:sz w:val="21"/>
        </w:rPr>
        <w:t>Savings, tax and pension are frequently mixed into a monthly budget as though they were spending.</w:t>
      </w:r>
    </w:p>
    <w:p>
      <w:pPr>
        <w:pStyle w:val="ListBullet"/>
        <w:spacing w:before="0" w:after="40" w:line="264" w:lineRule="auto"/>
      </w:pPr>
      <w:r>
        <w:rPr>
          <w:rFonts w:ascii="Calibri" w:hAnsi="Calibri" w:eastAsia="Calibri"/>
          <w:b w:val="0"/>
          <w:i w:val="0"/>
          <w:color w:val="17212B"/>
          <w:sz w:val="21"/>
        </w:rPr>
        <w:t>The less-engaged partner is rarely given a purpose-built light experience.</w:t>
      </w:r>
    </w:p>
    <w:p>
      <w:r>
        <w:br w:type="page"/>
      </w:r>
    </w:p>
    <w:p>
      <w:pPr>
        <w:pStyle w:val="Heading1"/>
        <w:keepNext/>
        <w:spacing w:before="0" w:after="80" w:line="264" w:lineRule="auto"/>
      </w:pPr>
      <w:r>
        <w:rPr>
          <w:rFonts w:ascii="Calibri" w:hAnsi="Calibri" w:eastAsia="Calibri"/>
          <w:b/>
          <w:i w:val="0"/>
          <w:color w:val="2E74B5"/>
          <w:sz w:val="32"/>
        </w:rPr>
        <w:t>Trial-account UX gallery</w:t>
      </w:r>
    </w:p>
    <w:p>
      <w:pPr>
        <w:spacing w:before="0" w:after="160" w:line="264" w:lineRule="auto"/>
      </w:pPr>
      <w:r>
        <w:rPr>
          <w:rFonts w:ascii="Calibri" w:hAnsi="Calibri" w:eastAsia="Calibri"/>
          <w:b w:val="0"/>
          <w:i w:val="0"/>
          <w:color w:val="667085"/>
          <w:sz w:val="22"/>
        </w:rPr>
        <w:t>The following were captured in safe zero-data research accounts on 1 September 2026. No bank account was connected, no identity verification was submitted, and no money was moved. The gallery covers representative main screens, not every workflow.</w:t>
      </w:r>
    </w:p>
    <w:p>
      <w:pPr>
        <w:pStyle w:val="Heading2"/>
        <w:keepNext/>
        <w:spacing w:before="240" w:after="80" w:line="264" w:lineRule="auto"/>
      </w:pPr>
      <w:r>
        <w:rPr>
          <w:rFonts w:ascii="Calibri" w:hAnsi="Calibri" w:eastAsia="Calibri"/>
          <w:b/>
          <w:i w:val="0"/>
          <w:color w:val="2E74B5"/>
          <w:sz w:val="26"/>
        </w:rPr>
        <w:t>YNAB: collaborative budget onboarding</w:t>
      </w:r>
    </w:p>
    <w:p>
      <w:pPr>
        <w:spacing w:before="0" w:after="80" w:line="264" w:lineRule="auto"/>
      </w:pPr>
      <w:r>
        <w:rPr>
          <w:rFonts w:ascii="Calibri" w:hAnsi="Calibri" w:eastAsia="Calibri"/>
          <w:b w:val="0"/>
          <w:i w:val="0"/>
          <w:color w:val="17212B"/>
          <w:sz w:val="22"/>
        </w:rPr>
        <w:t xml:space="preserve">The onboarding-first experience introduces planning behaviour before showing a dense budget. It is friendly and intentional, although couples may still need to decide between multiple budget structures and manually manage personal contributions. </w:t>
      </w:r>
      <w:hyperlink r:id="rId11">
        <w:r>
          <w:rPr>
            <w:color w:val="2E74B5"/>
            <w:u w:val="single"/>
            <w:rFonts w:ascii="Calibri" w:hAnsi="Calibri"/>
          </w:rPr>
          <w:t>YNAB’s couples guide</w:t>
        </w:r>
      </w:hyperlink>
      <w:r>
        <w:rPr>
          <w:rFonts w:ascii="Calibri" w:hAnsi="Calibri" w:eastAsia="Calibri"/>
          <w:b w:val="0"/>
          <w:i w:val="0"/>
          <w:color w:val="17212B"/>
          <w:sz w:val="22"/>
        </w:rPr>
        <w:t xml:space="preserve"> supports joint, separate and mixed setups.</w:t>
      </w:r>
    </w:p>
    <w:p>
      <w:pPr>
        <w:keepNext/>
        <w:spacing w:after="40"/>
        <w:jc w:val="center"/>
      </w:pPr>
      <w:r>
        <w:drawing>
          <wp:inline xmlns:a="http://schemas.openxmlformats.org/drawingml/2006/main" xmlns:pic="http://schemas.openxmlformats.org/drawingml/2006/picture">
            <wp:extent cx="5532120" cy="4810310"/>
            <wp:docPr id="1" name="Picture 1"/>
            <wp:cNvGraphicFramePr>
              <a:graphicFrameLocks noChangeAspect="1"/>
            </wp:cNvGraphicFramePr>
            <a:graphic>
              <a:graphicData uri="http://schemas.openxmlformats.org/drawingml/2006/picture">
                <pic:pic>
                  <pic:nvPicPr>
                    <pic:cNvPr id="0" name="ynab-onboarding-cropped.png"/>
                    <pic:cNvPicPr/>
                  </pic:nvPicPr>
                  <pic:blipFill>
                    <a:blip r:embed="rId12"/>
                    <a:stretch>
                      <a:fillRect/>
                    </a:stretch>
                  </pic:blipFill>
                  <pic:spPr>
                    <a:xfrm>
                      <a:off x="0" y="0"/>
                      <a:ext cx="5532120" cy="4810310"/>
                    </a:xfrm>
                    <a:prstGeom prst="rect"/>
                  </pic:spPr>
                </pic:pic>
              </a:graphicData>
            </a:graphic>
          </wp:inline>
        </w:drawing>
      </w:r>
    </w:p>
    <w:p>
      <w:pPr>
        <w:pStyle w:val="Caption"/>
        <w:spacing w:before="0" w:after="160" w:line="264" w:lineRule="auto"/>
        <w:jc w:val="center"/>
      </w:pPr>
      <w:r>
        <w:rPr>
          <w:rFonts w:ascii="Calibri" w:hAnsi="Calibri" w:eastAsia="Calibri"/>
          <w:b w:val="0"/>
          <w:i/>
          <w:color w:val="667085"/>
          <w:sz w:val="17"/>
        </w:rPr>
        <w:t>YNAB onboarding. Research account, zero data. Source: direct product observation, 1 September 2026.</w:t>
      </w:r>
    </w:p>
    <w:p>
      <w:r>
        <w:br w:type="page"/>
      </w:r>
    </w:p>
    <w:p>
      <w:pPr>
        <w:pStyle w:val="Heading2"/>
        <w:keepNext/>
        <w:spacing w:before="240" w:after="80" w:line="264" w:lineRule="auto"/>
      </w:pPr>
      <w:r>
        <w:rPr>
          <w:rFonts w:ascii="Calibri" w:hAnsi="Calibri" w:eastAsia="Calibri"/>
          <w:b/>
          <w:i w:val="0"/>
          <w:color w:val="2E74B5"/>
          <w:sz w:val="26"/>
        </w:rPr>
        <w:t>Wallet by BudgetBakers: calm personal dashboard</w:t>
      </w:r>
    </w:p>
    <w:p>
      <w:pPr>
        <w:spacing w:before="0" w:after="120" w:line="264" w:lineRule="auto"/>
      </w:pPr>
      <w:r>
        <w:rPr>
          <w:rFonts w:ascii="Calibri" w:hAnsi="Calibri" w:eastAsia="Calibri"/>
          <w:b w:val="0"/>
          <w:i w:val="0"/>
          <w:color w:val="17212B"/>
          <w:sz w:val="22"/>
        </w:rPr>
        <w:t>The navigation is easy to scan: Dashboard, Accounts, Records, Analytics and Imports. The familiar personal-money structure is a strength. Its group sharing model is more limiting: the official documentation says it is unavailable on the web, uses separate group context and initially gives new members access to all accounts.</w:t>
      </w:r>
    </w:p>
    <w:p>
      <w:pPr>
        <w:keepNext/>
        <w:spacing w:after="40"/>
        <w:jc w:val="center"/>
      </w:pPr>
      <w:r>
        <w:drawing>
          <wp:inline xmlns:a="http://schemas.openxmlformats.org/drawingml/2006/main" xmlns:pic="http://schemas.openxmlformats.org/drawingml/2006/picture">
            <wp:extent cx="5532120" cy="3083532"/>
            <wp:docPr id="2" name="Picture 2"/>
            <wp:cNvGraphicFramePr>
              <a:graphicFrameLocks noChangeAspect="1"/>
            </wp:cNvGraphicFramePr>
            <a:graphic>
              <a:graphicData uri="http://schemas.openxmlformats.org/drawingml/2006/picture">
                <pic:pic>
                  <pic:nvPicPr>
                    <pic:cNvPr id="0" name="wallet-dashboard.png"/>
                    <pic:cNvPicPr/>
                  </pic:nvPicPr>
                  <pic:blipFill>
                    <a:blip r:embed="rId13"/>
                    <a:stretch>
                      <a:fillRect/>
                    </a:stretch>
                  </pic:blipFill>
                  <pic:spPr>
                    <a:xfrm>
                      <a:off x="0" y="0"/>
                      <a:ext cx="5532120" cy="3083532"/>
                    </a:xfrm>
                    <a:prstGeom prst="rect"/>
                  </pic:spPr>
                </pic:pic>
              </a:graphicData>
            </a:graphic>
          </wp:inline>
        </w:drawing>
      </w:r>
    </w:p>
    <w:p>
      <w:pPr>
        <w:pStyle w:val="Caption"/>
        <w:spacing w:before="0" w:after="160" w:line="264" w:lineRule="auto"/>
        <w:jc w:val="center"/>
      </w:pPr>
      <w:r>
        <w:rPr>
          <w:rFonts w:ascii="Calibri" w:hAnsi="Calibri" w:eastAsia="Calibri"/>
          <w:b w:val="0"/>
          <w:i/>
          <w:color w:val="667085"/>
          <w:sz w:val="17"/>
        </w:rPr>
        <w:t>Wallet dashboard. Research account, zero data. Source: direct product observation, 1 September 2026.</w:t>
      </w:r>
    </w:p>
    <w:p>
      <w:r>
        <w:br w:type="page"/>
      </w:r>
    </w:p>
    <w:p>
      <w:pPr>
        <w:pStyle w:val="Heading2"/>
        <w:keepNext/>
        <w:spacing w:before="0" w:after="80" w:line="264" w:lineRule="auto"/>
      </w:pPr>
      <w:r>
        <w:rPr>
          <w:rFonts w:ascii="Calibri" w:hAnsi="Calibri" w:eastAsia="Calibri"/>
          <w:b/>
          <w:i w:val="0"/>
          <w:color w:val="2E74B5"/>
          <w:sz w:val="26"/>
        </w:rPr>
        <w:t>Wallet: account list</w:t>
      </w:r>
    </w:p>
    <w:p>
      <w:pPr>
        <w:spacing w:before="0" w:after="120" w:line="264" w:lineRule="auto"/>
      </w:pPr>
      <w:r>
        <w:rPr>
          <w:rFonts w:ascii="Calibri" w:hAnsi="Calibri" w:eastAsia="Calibri"/>
          <w:b w:val="0"/>
          <w:i w:val="0"/>
          <w:color w:val="17212B"/>
          <w:sz w:val="22"/>
        </w:rPr>
        <w:t>The account list reinforces a simple tracker mental model. Wollie should take the calm clarity, while avoiding a separate ‘group wallet’ universe.</w:t>
      </w:r>
    </w:p>
    <w:p>
      <w:pPr>
        <w:keepNext/>
        <w:spacing w:after="40"/>
        <w:jc w:val="center"/>
      </w:pPr>
      <w:r>
        <w:drawing>
          <wp:inline xmlns:a="http://schemas.openxmlformats.org/drawingml/2006/main" xmlns:pic="http://schemas.openxmlformats.org/drawingml/2006/picture">
            <wp:extent cx="5532120" cy="3083532"/>
            <wp:docPr id="3" name="Picture 3"/>
            <wp:cNvGraphicFramePr>
              <a:graphicFrameLocks noChangeAspect="1"/>
            </wp:cNvGraphicFramePr>
            <a:graphic>
              <a:graphicData uri="http://schemas.openxmlformats.org/drawingml/2006/picture">
                <pic:pic>
                  <pic:nvPicPr>
                    <pic:cNvPr id="0" name="wallet-accounts.png"/>
                    <pic:cNvPicPr/>
                  </pic:nvPicPr>
                  <pic:blipFill>
                    <a:blip r:embed="rId14"/>
                    <a:stretch>
                      <a:fillRect/>
                    </a:stretch>
                  </pic:blipFill>
                  <pic:spPr>
                    <a:xfrm>
                      <a:off x="0" y="0"/>
                      <a:ext cx="5532120" cy="3083532"/>
                    </a:xfrm>
                    <a:prstGeom prst="rect"/>
                  </pic:spPr>
                </pic:pic>
              </a:graphicData>
            </a:graphic>
          </wp:inline>
        </w:drawing>
      </w:r>
    </w:p>
    <w:p>
      <w:pPr>
        <w:pStyle w:val="Caption"/>
        <w:spacing w:before="0" w:after="160" w:line="264" w:lineRule="auto"/>
        <w:jc w:val="center"/>
      </w:pPr>
      <w:r>
        <w:rPr>
          <w:rFonts w:ascii="Calibri" w:hAnsi="Calibri" w:eastAsia="Calibri"/>
          <w:b w:val="0"/>
          <w:i/>
          <w:color w:val="667085"/>
          <w:sz w:val="17"/>
        </w:rPr>
        <w:t>Wallet accounts. Research account, zero data. Source: direct product observation, 1 September 2026.</w:t>
      </w:r>
    </w:p>
    <w:p>
      <w:r>
        <w:br w:type="page"/>
      </w:r>
    </w:p>
    <w:p>
      <w:pPr>
        <w:pStyle w:val="Heading2"/>
        <w:keepNext/>
        <w:spacing w:before="240" w:after="80" w:line="264" w:lineRule="auto"/>
      </w:pPr>
      <w:r>
        <w:rPr>
          <w:rFonts w:ascii="Calibri" w:hAnsi="Calibri" w:eastAsia="Calibri"/>
          <w:b/>
          <w:i w:val="0"/>
          <w:color w:val="2E74B5"/>
          <w:sz w:val="26"/>
        </w:rPr>
        <w:t>Spendee: simple shared-wallet idea, early paywall</w:t>
      </w:r>
    </w:p>
    <w:p>
      <w:pPr>
        <w:spacing w:before="0" w:after="120" w:line="264" w:lineRule="auto"/>
      </w:pPr>
      <w:r>
        <w:rPr>
          <w:rFonts w:ascii="Calibri" w:hAnsi="Calibri" w:eastAsia="Calibri"/>
          <w:b w:val="0"/>
          <w:i w:val="0"/>
          <w:color w:val="17212B"/>
          <w:sz w:val="22"/>
        </w:rPr>
        <w:t>Spendee makes wallets and categories approachable. In the trial account, adding a second wallet immediately reached a Premium boundary. The shared-wallet model is less complete than a shared household plan, and its help centre states that bank wallets cannot be shared.</w:t>
      </w:r>
    </w:p>
    <w:p>
      <w:pPr>
        <w:keepNext/>
        <w:spacing w:after="40"/>
        <w:jc w:val="center"/>
      </w:pPr>
      <w:r>
        <w:drawing>
          <wp:inline xmlns:a="http://schemas.openxmlformats.org/drawingml/2006/main" xmlns:pic="http://schemas.openxmlformats.org/drawingml/2006/picture">
            <wp:extent cx="5349240" cy="2981597"/>
            <wp:docPr id="4" name="Picture 4"/>
            <wp:cNvGraphicFramePr>
              <a:graphicFrameLocks noChangeAspect="1"/>
            </wp:cNvGraphicFramePr>
            <a:graphic>
              <a:graphicData uri="http://schemas.openxmlformats.org/drawingml/2006/picture">
                <pic:pic>
                  <pic:nvPicPr>
                    <pic:cNvPr id="0" name="spendee-wallet-paywall-sanitized.png"/>
                    <pic:cNvPicPr/>
                  </pic:nvPicPr>
                  <pic:blipFill>
                    <a:blip r:embed="rId15"/>
                    <a:stretch>
                      <a:fillRect/>
                    </a:stretch>
                  </pic:blipFill>
                  <pic:spPr>
                    <a:xfrm>
                      <a:off x="0" y="0"/>
                      <a:ext cx="5349240" cy="2981597"/>
                    </a:xfrm>
                    <a:prstGeom prst="rect"/>
                  </pic:spPr>
                </pic:pic>
              </a:graphicData>
            </a:graphic>
          </wp:inline>
        </w:drawing>
      </w:r>
    </w:p>
    <w:p>
      <w:pPr>
        <w:pStyle w:val="Caption"/>
        <w:spacing w:before="0" w:after="160" w:line="264" w:lineRule="auto"/>
        <w:jc w:val="center"/>
      </w:pPr>
      <w:r>
        <w:rPr>
          <w:rFonts w:ascii="Calibri" w:hAnsi="Calibri" w:eastAsia="Calibri"/>
          <w:b w:val="0"/>
          <w:i/>
          <w:color w:val="667085"/>
          <w:sz w:val="17"/>
        </w:rPr>
        <w:t>Spendee Premium boundary. Profile label is intentionally redacted. Research account, zero data. Source: direct product observation, 1 September 2026.</w:t>
      </w:r>
    </w:p>
    <w:p>
      <w:r>
        <w:br w:type="page"/>
      </w:r>
    </w:p>
    <w:p>
      <w:pPr>
        <w:pStyle w:val="Heading1"/>
        <w:keepNext/>
        <w:spacing w:before="0" w:after="80" w:line="264" w:lineRule="auto"/>
      </w:pPr>
      <w:r>
        <w:rPr>
          <w:rFonts w:ascii="Calibri" w:hAnsi="Calibri" w:eastAsia="Calibri"/>
          <w:b/>
          <w:i w:val="0"/>
          <w:color w:val="2E74B5"/>
          <w:sz w:val="32"/>
        </w:rPr>
        <w:t>What users repeatedly struggle with</w:t>
      </w:r>
    </w:p>
    <w:p>
      <w:pPr>
        <w:spacing w:before="0" w:after="160" w:line="264" w:lineRule="auto"/>
      </w:pPr>
      <w:r>
        <w:rPr>
          <w:rFonts w:ascii="Calibri" w:hAnsi="Calibri" w:eastAsia="Calibri"/>
          <w:b w:val="0"/>
          <w:i w:val="0"/>
          <w:color w:val="667085"/>
          <w:sz w:val="22"/>
        </w:rPr>
        <w:t>These are qualitative signals from public Reddit discussions. They are not survey results, but the themes recur across products and countries.</w:t>
      </w:r>
    </w:p>
    <w:tbl>
      <w:tblPr>
        <w:tblW w:type="dxa" w:w="9360"/>
        <w:jc w:val="left"/>
        <w:tblLayout w:type="fixed"/>
        <w:tblLook w:firstColumn="1" w:firstRow="1" w:lastColumn="0" w:lastRow="0" w:noHBand="0" w:noVBand="1" w:val="04A0"/>
        <w:tblInd w:w="120" w:type="dxa"/>
      </w:tblPr>
      <w:tblGrid>
        <w:gridCol w:w="1650"/>
        <w:gridCol w:w="7710"/>
      </w:tblGrid>
      <w:tr>
        <w:tc>
          <w:tcPr>
            <w:tcW w:type="dxa" w:w="1650"/>
            <w:tcMar>
              <w:top w:w="90" w:type="dxa"/>
              <w:start w:w="120" w:type="dxa"/>
              <w:bottom w:w="90" w:type="dxa"/>
              <w:end w:w="120" w:type="dxa"/>
            </w:tcMar>
            <w:shd w:fill="FFF0E9" w:val="clear"/>
          </w:tcPr>
          <w:p>
            <w:pPr>
              <w:spacing w:before="0" w:after="0" w:line="264" w:lineRule="auto"/>
              <w:jc w:val="center"/>
            </w:pPr>
            <w:r>
              <w:rPr>
                <w:rFonts w:ascii="Calibri" w:hAnsi="Calibri" w:eastAsia="Calibri"/>
                <w:b/>
                <w:i w:val="0"/>
                <w:color w:val="ED6A3A"/>
                <w:sz w:val="36"/>
              </w:rPr>
              <w:t>1</w:t>
            </w:r>
          </w:p>
        </w:tc>
        <w:tc>
          <w:tcPr>
            <w:tcW w:type="dxa" w:w="7710"/>
            <w:tcMar>
              <w:top w:w="90" w:type="dxa"/>
              <w:start w:w="120" w:type="dxa"/>
              <w:bottom w:w="90" w:type="dxa"/>
              <w:end w:w="120" w:type="dxa"/>
            </w:tcMar>
          </w:tcPr>
          <w:p>
            <w:pPr>
              <w:spacing w:before="0" w:after="0" w:line="264" w:lineRule="auto"/>
            </w:pPr>
            <w:r>
              <w:rPr>
                <w:rFonts w:ascii="Calibri" w:hAnsi="Calibri" w:eastAsia="Calibri"/>
                <w:b/>
                <w:i w:val="0"/>
                <w:color w:val="082C4C"/>
                <w:sz w:val="21"/>
              </w:rPr>
              <w:t>Shared costs, personal autonomy</w:t>
              <w:br/>
            </w:r>
            <w:r>
              <w:rPr>
                <w:rFonts w:ascii="Calibri" w:hAnsi="Calibri" w:eastAsia="Calibri"/>
                <w:b w:val="0"/>
                <w:i w:val="0"/>
                <w:color w:val="17212B"/>
                <w:sz w:val="19"/>
              </w:rPr>
              <w:t>Couples want to plan rent, groceries and trips together while retaining personal spending and surprise gifts. Full mutual visibility is often too blunt.</w:t>
              <w:br/>
            </w:r>
            <w:r>
              <w:rPr>
                <w:rFonts w:ascii="Calibri" w:hAnsi="Calibri" w:eastAsia="Calibri"/>
                <w:b/>
                <w:i w:val="0"/>
                <w:color w:val="3A7D44"/>
                <w:sz w:val="19"/>
              </w:rPr>
              <w:t xml:space="preserve">Wollie implication: </w:t>
            </w:r>
            <w:r>
              <w:rPr>
                <w:rFonts w:ascii="Calibri" w:hAnsi="Calibri" w:eastAsia="Calibri"/>
                <w:b w:val="0"/>
                <w:i w:val="0"/>
                <w:color w:val="17212B"/>
                <w:sz w:val="19"/>
              </w:rPr>
              <w:t>Make visibility deliberate at account, transaction and category level: Private, Shared with partner, or Household total only.</w:t>
            </w:r>
          </w:p>
        </w:tc>
      </w:tr>
    </w:tbl>
    <w:p>
      <w:pPr>
        <w:spacing w:after="0"/>
      </w:pPr>
    </w:p>
    <w:tbl>
      <w:tblPr>
        <w:tblW w:type="dxa" w:w="9360"/>
        <w:jc w:val="left"/>
        <w:tblLayout w:type="fixed"/>
        <w:tblLook w:firstColumn="1" w:firstRow="1" w:lastColumn="0" w:lastRow="0" w:noHBand="0" w:noVBand="1" w:val="04A0"/>
        <w:tblInd w:w="120" w:type="dxa"/>
      </w:tblPr>
      <w:tblGrid>
        <w:gridCol w:w="1650"/>
        <w:gridCol w:w="7710"/>
      </w:tblGrid>
      <w:tr>
        <w:tc>
          <w:tcPr>
            <w:tcW w:type="dxa" w:w="1650"/>
            <w:tcMar>
              <w:top w:w="90" w:type="dxa"/>
              <w:start w:w="120" w:type="dxa"/>
              <w:bottom w:w="90" w:type="dxa"/>
              <w:end w:w="120" w:type="dxa"/>
            </w:tcMar>
            <w:shd w:fill="FFF0E9" w:val="clear"/>
          </w:tcPr>
          <w:p>
            <w:pPr>
              <w:spacing w:before="0" w:after="0" w:line="264" w:lineRule="auto"/>
              <w:jc w:val="center"/>
            </w:pPr>
            <w:r>
              <w:rPr>
                <w:rFonts w:ascii="Calibri" w:hAnsi="Calibri" w:eastAsia="Calibri"/>
                <w:b/>
                <w:i w:val="0"/>
                <w:color w:val="ED6A3A"/>
                <w:sz w:val="36"/>
              </w:rPr>
              <w:t>2</w:t>
            </w:r>
          </w:p>
        </w:tc>
        <w:tc>
          <w:tcPr>
            <w:tcW w:type="dxa" w:w="7710"/>
            <w:tcMar>
              <w:top w:w="90" w:type="dxa"/>
              <w:start w:w="120" w:type="dxa"/>
              <w:bottom w:w="90" w:type="dxa"/>
              <w:end w:w="120" w:type="dxa"/>
            </w:tcMar>
          </w:tcPr>
          <w:p>
            <w:pPr>
              <w:spacing w:before="0" w:after="0" w:line="264" w:lineRule="auto"/>
            </w:pPr>
            <w:r>
              <w:rPr>
                <w:rFonts w:ascii="Calibri" w:hAnsi="Calibri" w:eastAsia="Calibri"/>
                <w:b/>
                <w:i w:val="0"/>
                <w:color w:val="082C4C"/>
                <w:sz w:val="21"/>
              </w:rPr>
              <w:t>One person runs the plan</w:t>
              <w:br/>
            </w:r>
            <w:r>
              <w:rPr>
                <w:rFonts w:ascii="Calibri" w:hAnsi="Calibri" w:eastAsia="Calibri"/>
                <w:b w:val="0"/>
                <w:i w:val="0"/>
                <w:color w:val="17212B"/>
                <w:sz w:val="19"/>
              </w:rPr>
              <w:t>Many households have a ‘money person’ and a partner who does not want daily categorisation.</w:t>
              <w:br/>
            </w:r>
            <w:r>
              <w:rPr>
                <w:rFonts w:ascii="Calibri" w:hAnsi="Calibri" w:eastAsia="Calibri"/>
                <w:b/>
                <w:i w:val="0"/>
                <w:color w:val="3A7D44"/>
                <w:sz w:val="19"/>
              </w:rPr>
              <w:t xml:space="preserve">Wollie implication: </w:t>
            </w:r>
            <w:r>
              <w:rPr>
                <w:rFonts w:ascii="Calibri" w:hAnsi="Calibri" w:eastAsia="Calibri"/>
                <w:b w:val="0"/>
                <w:i w:val="0"/>
                <w:color w:val="17212B"/>
                <w:sz w:val="19"/>
              </w:rPr>
              <w:t>Create a Partner Light role with safe-to-spend, upcoming bills, approvals and a weekly digest.</w:t>
            </w:r>
          </w:p>
        </w:tc>
      </w:tr>
    </w:tbl>
    <w:p>
      <w:pPr>
        <w:spacing w:after="0"/>
      </w:pPr>
    </w:p>
    <w:tbl>
      <w:tblPr>
        <w:tblW w:type="dxa" w:w="9360"/>
        <w:jc w:val="left"/>
        <w:tblLayout w:type="fixed"/>
        <w:tblLook w:firstColumn="1" w:firstRow="1" w:lastColumn="0" w:lastRow="0" w:noHBand="0" w:noVBand="1" w:val="04A0"/>
        <w:tblInd w:w="120" w:type="dxa"/>
      </w:tblPr>
      <w:tblGrid>
        <w:gridCol w:w="1650"/>
        <w:gridCol w:w="7710"/>
      </w:tblGrid>
      <w:tr>
        <w:tc>
          <w:tcPr>
            <w:tcW w:type="dxa" w:w="1650"/>
            <w:tcMar>
              <w:top w:w="90" w:type="dxa"/>
              <w:start w:w="120" w:type="dxa"/>
              <w:bottom w:w="90" w:type="dxa"/>
              <w:end w:w="120" w:type="dxa"/>
            </w:tcMar>
            <w:shd w:fill="FFF0E9" w:val="clear"/>
          </w:tcPr>
          <w:p>
            <w:pPr>
              <w:spacing w:before="0" w:after="0" w:line="264" w:lineRule="auto"/>
              <w:jc w:val="center"/>
            </w:pPr>
            <w:r>
              <w:rPr>
                <w:rFonts w:ascii="Calibri" w:hAnsi="Calibri" w:eastAsia="Calibri"/>
                <w:b/>
                <w:i w:val="0"/>
                <w:color w:val="ED6A3A"/>
                <w:sz w:val="36"/>
              </w:rPr>
              <w:t>3</w:t>
            </w:r>
          </w:p>
        </w:tc>
        <w:tc>
          <w:tcPr>
            <w:tcW w:type="dxa" w:w="7710"/>
            <w:tcMar>
              <w:top w:w="90" w:type="dxa"/>
              <w:start w:w="120" w:type="dxa"/>
              <w:bottom w:w="90" w:type="dxa"/>
              <w:end w:w="120" w:type="dxa"/>
            </w:tcMar>
          </w:tcPr>
          <w:p>
            <w:pPr>
              <w:spacing w:before="0" w:after="0" w:line="264" w:lineRule="auto"/>
            </w:pPr>
            <w:r>
              <w:rPr>
                <w:rFonts w:ascii="Calibri" w:hAnsi="Calibri" w:eastAsia="Calibri"/>
                <w:b/>
                <w:i w:val="0"/>
                <w:color w:val="082C4C"/>
                <w:sz w:val="21"/>
              </w:rPr>
              <w:t>Separate cards create manual maths</w:t>
              <w:br/>
            </w:r>
            <w:r>
              <w:rPr>
                <w:rFonts w:ascii="Calibri" w:hAnsi="Calibri" w:eastAsia="Calibri"/>
                <w:b w:val="0"/>
                <w:i w:val="0"/>
                <w:color w:val="17212B"/>
                <w:sz w:val="19"/>
              </w:rPr>
              <w:t>Shared cards, personal cards and paybacks create awkward contribution calculations.</w:t>
              <w:br/>
            </w:r>
            <w:r>
              <w:rPr>
                <w:rFonts w:ascii="Calibri" w:hAnsi="Calibri" w:eastAsia="Calibri"/>
                <w:b/>
                <w:i w:val="0"/>
                <w:color w:val="3A7D44"/>
                <w:sz w:val="19"/>
              </w:rPr>
              <w:t xml:space="preserve">Wollie implication: </w:t>
            </w:r>
            <w:r>
              <w:rPr>
                <w:rFonts w:ascii="Calibri" w:hAnsi="Calibri" w:eastAsia="Calibri"/>
                <w:b w:val="0"/>
                <w:i w:val="0"/>
                <w:color w:val="17212B"/>
                <w:sz w:val="19"/>
              </w:rPr>
              <w:t>Support equal, fixed and proportional-to-income rules, then show expected and actual contributions.</w:t>
            </w:r>
          </w:p>
        </w:tc>
      </w:tr>
    </w:tbl>
    <w:p>
      <w:pPr>
        <w:spacing w:after="0"/>
      </w:pPr>
    </w:p>
    <w:tbl>
      <w:tblPr>
        <w:tblW w:type="dxa" w:w="9360"/>
        <w:jc w:val="left"/>
        <w:tblLayout w:type="fixed"/>
        <w:tblLook w:firstColumn="1" w:firstRow="1" w:lastColumn="0" w:lastRow="0" w:noHBand="0" w:noVBand="1" w:val="04A0"/>
        <w:tblInd w:w="120" w:type="dxa"/>
      </w:tblPr>
      <w:tblGrid>
        <w:gridCol w:w="1650"/>
        <w:gridCol w:w="7710"/>
      </w:tblGrid>
      <w:tr>
        <w:tc>
          <w:tcPr>
            <w:tcW w:type="dxa" w:w="1650"/>
            <w:tcMar>
              <w:top w:w="90" w:type="dxa"/>
              <w:start w:w="120" w:type="dxa"/>
              <w:bottom w:w="90" w:type="dxa"/>
              <w:end w:w="120" w:type="dxa"/>
            </w:tcMar>
            <w:shd w:fill="FFF0E9" w:val="clear"/>
          </w:tcPr>
          <w:p>
            <w:pPr>
              <w:spacing w:before="0" w:after="0" w:line="264" w:lineRule="auto"/>
              <w:jc w:val="center"/>
            </w:pPr>
            <w:r>
              <w:rPr>
                <w:rFonts w:ascii="Calibri" w:hAnsi="Calibri" w:eastAsia="Calibri"/>
                <w:b/>
                <w:i w:val="0"/>
                <w:color w:val="ED6A3A"/>
                <w:sz w:val="36"/>
              </w:rPr>
              <w:t>4</w:t>
            </w:r>
          </w:p>
        </w:tc>
        <w:tc>
          <w:tcPr>
            <w:tcW w:type="dxa" w:w="7710"/>
            <w:tcMar>
              <w:top w:w="90" w:type="dxa"/>
              <w:start w:w="120" w:type="dxa"/>
              <w:bottom w:w="90" w:type="dxa"/>
              <w:end w:w="120" w:type="dxa"/>
            </w:tcMar>
          </w:tcPr>
          <w:p>
            <w:pPr>
              <w:spacing w:before="0" w:after="0" w:line="264" w:lineRule="auto"/>
            </w:pPr>
            <w:r>
              <w:rPr>
                <w:rFonts w:ascii="Calibri" w:hAnsi="Calibri" w:eastAsia="Calibri"/>
                <w:b/>
                <w:i w:val="0"/>
                <w:color w:val="082C4C"/>
                <w:sz w:val="21"/>
              </w:rPr>
              <w:t>People do not want to switch worlds</w:t>
              <w:br/>
            </w:r>
            <w:r>
              <w:rPr>
                <w:rFonts w:ascii="Calibri" w:hAnsi="Calibri" w:eastAsia="Calibri"/>
                <w:b w:val="0"/>
                <w:i w:val="0"/>
                <w:color w:val="17212B"/>
                <w:sz w:val="19"/>
              </w:rPr>
              <w:t>Personal records and group records often become separate product contexts.</w:t>
              <w:br/>
            </w:r>
            <w:r>
              <w:rPr>
                <w:rFonts w:ascii="Calibri" w:hAnsi="Calibri" w:eastAsia="Calibri"/>
                <w:b/>
                <w:i w:val="0"/>
                <w:color w:val="3A7D44"/>
                <w:sz w:val="19"/>
              </w:rPr>
              <w:t xml:space="preserve">Wollie implication: </w:t>
            </w:r>
            <w:r>
              <w:rPr>
                <w:rFonts w:ascii="Calibri" w:hAnsi="Calibri" w:eastAsia="Calibri"/>
                <w:b w:val="0"/>
                <w:i w:val="0"/>
                <w:color w:val="17212B"/>
                <w:sz w:val="19"/>
              </w:rPr>
              <w:t>Keep one household plan. Let privacy settings change the view rather than moving the user elsewhere.</w:t>
            </w:r>
          </w:p>
        </w:tc>
      </w:tr>
    </w:tbl>
    <w:p>
      <w:pPr>
        <w:spacing w:after="0"/>
      </w:pPr>
    </w:p>
    <w:tbl>
      <w:tblPr>
        <w:tblW w:type="dxa" w:w="9360"/>
        <w:jc w:val="left"/>
        <w:tblLayout w:type="fixed"/>
        <w:tblLook w:firstColumn="1" w:firstRow="1" w:lastColumn="0" w:lastRow="0" w:noHBand="0" w:noVBand="1" w:val="04A0"/>
        <w:tblInd w:w="120" w:type="dxa"/>
      </w:tblPr>
      <w:tblGrid>
        <w:gridCol w:w="1650"/>
        <w:gridCol w:w="7710"/>
      </w:tblGrid>
      <w:tr>
        <w:tc>
          <w:tcPr>
            <w:tcW w:type="dxa" w:w="1650"/>
            <w:tcMar>
              <w:top w:w="90" w:type="dxa"/>
              <w:start w:w="120" w:type="dxa"/>
              <w:bottom w:w="90" w:type="dxa"/>
              <w:end w:w="120" w:type="dxa"/>
            </w:tcMar>
            <w:shd w:fill="FFF0E9" w:val="clear"/>
          </w:tcPr>
          <w:p>
            <w:pPr>
              <w:spacing w:before="0" w:after="0" w:line="264" w:lineRule="auto"/>
              <w:jc w:val="center"/>
            </w:pPr>
            <w:r>
              <w:rPr>
                <w:rFonts w:ascii="Calibri" w:hAnsi="Calibri" w:eastAsia="Calibri"/>
                <w:b/>
                <w:i w:val="0"/>
                <w:color w:val="ED6A3A"/>
                <w:sz w:val="36"/>
              </w:rPr>
              <w:t>5</w:t>
            </w:r>
          </w:p>
        </w:tc>
        <w:tc>
          <w:tcPr>
            <w:tcW w:type="dxa" w:w="7710"/>
            <w:tcMar>
              <w:top w:w="90" w:type="dxa"/>
              <w:start w:w="120" w:type="dxa"/>
              <w:bottom w:w="90" w:type="dxa"/>
              <w:end w:w="120" w:type="dxa"/>
            </w:tcMar>
          </w:tcPr>
          <w:p>
            <w:pPr>
              <w:spacing w:before="0" w:after="0" w:line="264" w:lineRule="auto"/>
            </w:pPr>
            <w:r>
              <w:rPr>
                <w:rFonts w:ascii="Calibri" w:hAnsi="Calibri" w:eastAsia="Calibri"/>
                <w:b/>
                <w:i w:val="0"/>
                <w:color w:val="082C4C"/>
                <w:sz w:val="21"/>
              </w:rPr>
              <w:t>The plan goes stale</w:t>
              <w:br/>
            </w:r>
            <w:r>
              <w:rPr>
                <w:rFonts w:ascii="Calibri" w:hAnsi="Calibri" w:eastAsia="Calibri"/>
                <w:b w:val="0"/>
                <w:i w:val="0"/>
                <w:color w:val="17212B"/>
                <w:sz w:val="19"/>
              </w:rPr>
              <w:t>Large changes need a conversation, and unrecorded transfers make the plan feel arbitrary.</w:t>
              <w:br/>
            </w:r>
            <w:r>
              <w:rPr>
                <w:rFonts w:ascii="Calibri" w:hAnsi="Calibri" w:eastAsia="Calibri"/>
                <w:b/>
                <w:i w:val="0"/>
                <w:color w:val="3A7D44"/>
                <w:sz w:val="19"/>
              </w:rPr>
              <w:t xml:space="preserve">Wollie implication: </w:t>
            </w:r>
            <w:r>
              <w:rPr>
                <w:rFonts w:ascii="Calibri" w:hAnsi="Calibri" w:eastAsia="Calibri"/>
                <w:b w:val="0"/>
                <w:i w:val="0"/>
                <w:color w:val="17212B"/>
                <w:sz w:val="19"/>
              </w:rPr>
              <w:t>Show simple proposals, confirmations and a lightweight decision history for material changes.</w:t>
            </w:r>
          </w:p>
        </w:tc>
      </w:tr>
    </w:tbl>
    <w:p>
      <w:pPr>
        <w:spacing w:after="0"/>
      </w:pPr>
    </w:p>
    <w:p>
      <w:pPr>
        <w:pStyle w:val="Heading2"/>
        <w:keepNext/>
        <w:spacing w:before="240" w:after="80" w:line="264" w:lineRule="auto"/>
      </w:pPr>
      <w:r>
        <w:rPr>
          <w:rFonts w:ascii="Calibri" w:hAnsi="Calibri" w:eastAsia="Calibri"/>
          <w:b/>
          <w:i w:val="0"/>
          <w:color w:val="2E74B5"/>
          <w:sz w:val="26"/>
        </w:rPr>
        <w:t>Examples of the public discussion</w:t>
      </w:r>
    </w:p>
    <w:p>
      <w:pPr>
        <w:spacing w:before="0" w:after="0" w:line="264" w:lineRule="auto"/>
      </w:pPr>
      <w:hyperlink r:id="rId16">
        <w:r>
          <w:rPr>
            <w:color w:val="2E74B5"/>
            <w:u w:val="single"/>
            <w:rFonts w:ascii="Calibri" w:hAnsi="Calibri"/>
          </w:rPr>
          <w:t>YNAB privacy and gifts</w:t>
        </w:r>
      </w:hyperlink>
      <w:r>
        <w:rPr>
          <w:rFonts w:ascii="Calibri" w:hAnsi="Calibri" w:eastAsia="Calibri"/>
          <w:b w:val="0"/>
          <w:i w:val="0"/>
          <w:color w:val="2E74B5"/>
          <w:sz w:val="18"/>
        </w:rPr>
        <w:t xml:space="preserve">  •  </w:t>
      </w:r>
      <w:hyperlink r:id="rId17">
        <w:r>
          <w:rPr>
            <w:color w:val="2E74B5"/>
            <w:u w:val="single"/>
            <w:rFonts w:ascii="Calibri" w:hAnsi="Calibri"/>
          </w:rPr>
          <w:t>YNAB shared-account setup</w:t>
        </w:r>
      </w:hyperlink>
      <w:r>
        <w:rPr>
          <w:rFonts w:ascii="Calibri" w:hAnsi="Calibri" w:eastAsia="Calibri"/>
          <w:b w:val="0"/>
          <w:i w:val="0"/>
          <w:color w:val="2E74B5"/>
          <w:sz w:val="18"/>
        </w:rPr>
        <w:t xml:space="preserve">  •  </w:t>
      </w:r>
      <w:hyperlink r:id="rId18">
        <w:r>
          <w:rPr>
            <w:color w:val="2E74B5"/>
            <w:u w:val="single"/>
            <w:rFonts w:ascii="Calibri" w:hAnsi="Calibri"/>
          </w:rPr>
          <w:t>Monarch automatic partner budget splits</w:t>
        </w:r>
      </w:hyperlink>
      <w:r>
        <w:rPr>
          <w:rFonts w:ascii="Calibri" w:hAnsi="Calibri" w:eastAsia="Calibri"/>
          <w:b w:val="0"/>
          <w:i w:val="0"/>
          <w:color w:val="2E74B5"/>
          <w:sz w:val="18"/>
        </w:rPr>
        <w:t xml:space="preserve">  •  </w:t>
      </w:r>
      <w:hyperlink r:id="rId19">
        <w:r>
          <w:rPr>
            <w:color w:val="2E74B5"/>
            <w:u w:val="single"/>
            <w:rFonts w:ascii="Calibri" w:hAnsi="Calibri"/>
          </w:rPr>
          <w:t>Wallet joint and personal accounts</w:t>
        </w:r>
      </w:hyperlink>
    </w:p>
    <w:p>
      <w:r>
        <w:br w:type="page"/>
      </w:r>
    </w:p>
    <w:p>
      <w:pPr>
        <w:pStyle w:val="Heading1"/>
        <w:keepNext/>
        <w:spacing w:before="0" w:after="80" w:line="264" w:lineRule="auto"/>
      </w:pPr>
      <w:r>
        <w:rPr>
          <w:rFonts w:ascii="Calibri" w:hAnsi="Calibri" w:eastAsia="Calibri"/>
          <w:b/>
          <w:i w:val="0"/>
          <w:color w:val="2E74B5"/>
          <w:sz w:val="32"/>
        </w:rPr>
        <w:t>UX principles for Wollie</w:t>
      </w:r>
    </w:p>
    <w:p>
      <w:pPr>
        <w:pStyle w:val="Heading2"/>
        <w:keepNext/>
        <w:spacing w:before="240" w:after="80" w:line="264" w:lineRule="auto"/>
      </w:pPr>
      <w:r>
        <w:rPr>
          <w:rFonts w:ascii="Calibri" w:hAnsi="Calibri" w:eastAsia="Calibri"/>
          <w:b/>
          <w:i w:val="0"/>
          <w:color w:val="2E74B5"/>
          <w:sz w:val="26"/>
        </w:rPr>
        <w:t>1. Start with intent, not account architecture</w:t>
      </w:r>
    </w:p>
    <w:p>
      <w:pPr>
        <w:spacing w:before="0" w:after="120" w:line="264" w:lineRule="auto"/>
      </w:pPr>
      <w:r>
        <w:rPr>
          <w:rFonts w:ascii="Calibri" w:hAnsi="Calibri" w:eastAsia="Calibri"/>
          <w:b w:val="0"/>
          <w:i w:val="0"/>
          <w:color w:val="17212B"/>
          <w:sz w:val="22"/>
        </w:rPr>
        <w:t>Ask: “Which money do you want to plan together?” Then let a couple include joint accounts, selected personal accounts, or both. Do not force a ‘joint versus separate’ decision before they see the model.</w:t>
      </w:r>
    </w:p>
    <w:p>
      <w:pPr>
        <w:pStyle w:val="Heading2"/>
        <w:keepNext/>
        <w:spacing w:before="240" w:after="80" w:line="264" w:lineRule="auto"/>
      </w:pPr>
      <w:r>
        <w:rPr>
          <w:rFonts w:ascii="Calibri" w:hAnsi="Calibri" w:eastAsia="Calibri"/>
          <w:b/>
          <w:i w:val="0"/>
          <w:color w:val="2E74B5"/>
          <w:sz w:val="26"/>
        </w:rPr>
        <w:t>2. One shared plan, layered views</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90" w:type="dxa"/>
              <w:start w:w="120" w:type="dxa"/>
              <w:bottom w:w="90" w:type="dxa"/>
              <w:end w:w="120" w:type="dxa"/>
            </w:tcMar>
            <w:shd w:fill="EEF5FC" w:val="clear"/>
          </w:tcPr>
          <w:p>
            <w:pPr>
              <w:spacing w:before="0" w:after="0" w:line="264" w:lineRule="auto"/>
            </w:pPr>
            <w:r>
              <w:rPr>
                <w:rFonts w:ascii="Calibri" w:hAnsi="Calibri" w:eastAsia="Calibri"/>
                <w:b/>
                <w:i w:val="0"/>
                <w:color w:val="082C4C"/>
                <w:sz w:val="20"/>
              </w:rPr>
              <w:t>MY VIEW</w:t>
              <w:br/>
            </w:r>
            <w:r>
              <w:rPr>
                <w:rFonts w:ascii="Calibri" w:hAnsi="Calibri" w:eastAsia="Calibri"/>
                <w:b w:val="0"/>
                <w:i w:val="0"/>
                <w:color w:val="17212B"/>
                <w:sz w:val="19"/>
              </w:rPr>
              <w:t>My accounts and my private categories.</w:t>
            </w:r>
          </w:p>
        </w:tc>
        <w:tc>
          <w:tcPr>
            <w:tcW w:type="dxa" w:w="3120"/>
            <w:tcMar>
              <w:top w:w="90" w:type="dxa"/>
              <w:start w:w="120" w:type="dxa"/>
              <w:bottom w:w="90" w:type="dxa"/>
              <w:end w:w="120" w:type="dxa"/>
            </w:tcMar>
            <w:shd w:fill="EEF5FC" w:val="clear"/>
          </w:tcPr>
          <w:p>
            <w:pPr>
              <w:spacing w:before="0" w:after="0" w:line="264" w:lineRule="auto"/>
            </w:pPr>
            <w:r>
              <w:rPr>
                <w:rFonts w:ascii="Calibri" w:hAnsi="Calibri" w:eastAsia="Calibri"/>
                <w:b/>
                <w:i w:val="0"/>
                <w:color w:val="082C4C"/>
                <w:sz w:val="20"/>
              </w:rPr>
              <w:t>SHARED VIEW</w:t>
              <w:br/>
            </w:r>
            <w:r>
              <w:rPr>
                <w:rFonts w:ascii="Calibri" w:hAnsi="Calibri" w:eastAsia="Calibri"/>
                <w:b w:val="0"/>
                <w:i w:val="0"/>
                <w:color w:val="17212B"/>
                <w:sz w:val="19"/>
              </w:rPr>
              <w:t>Money and categories both partners chose to share.</w:t>
            </w:r>
          </w:p>
        </w:tc>
        <w:tc>
          <w:tcPr>
            <w:tcW w:type="dxa" w:w="3120"/>
            <w:tcMar>
              <w:top w:w="90" w:type="dxa"/>
              <w:start w:w="120" w:type="dxa"/>
              <w:bottom w:w="90" w:type="dxa"/>
              <w:end w:w="120" w:type="dxa"/>
            </w:tcMar>
            <w:shd w:fill="EEF5FC" w:val="clear"/>
          </w:tcPr>
          <w:p>
            <w:pPr>
              <w:spacing w:before="0" w:after="0" w:line="264" w:lineRule="auto"/>
            </w:pPr>
            <w:r>
              <w:rPr>
                <w:rFonts w:ascii="Calibri" w:hAnsi="Calibri" w:eastAsia="Calibri"/>
                <w:b/>
                <w:i w:val="0"/>
                <w:color w:val="082C4C"/>
                <w:sz w:val="20"/>
              </w:rPr>
              <w:t>HOUSEHOLD VIEW</w:t>
              <w:br/>
            </w:r>
            <w:r>
              <w:rPr>
                <w:rFonts w:ascii="Calibri" w:hAnsi="Calibri" w:eastAsia="Calibri"/>
                <w:b w:val="0"/>
                <w:i w:val="0"/>
                <w:color w:val="17212B"/>
                <w:sz w:val="19"/>
              </w:rPr>
              <w:t>Combined plan and totals, respecting privacy settings.</w:t>
            </w:r>
          </w:p>
        </w:tc>
      </w:tr>
    </w:tbl>
    <w:p>
      <w:pPr>
        <w:pStyle w:val="Heading2"/>
        <w:keepNext/>
        <w:spacing w:before="240" w:after="80" w:line="264" w:lineRule="auto"/>
      </w:pPr>
      <w:r>
        <w:rPr>
          <w:rFonts w:ascii="Calibri" w:hAnsi="Calibri" w:eastAsia="Calibri"/>
          <w:b/>
          <w:i w:val="0"/>
          <w:color w:val="2E74B5"/>
          <w:sz w:val="26"/>
        </w:rPr>
        <w:t>3. Separate funding from spending</w:t>
      </w:r>
    </w:p>
    <w:p>
      <w:pPr>
        <w:spacing w:before="0" w:after="120" w:line="264" w:lineRule="auto"/>
      </w:pPr>
      <w:r>
        <w:rPr>
          <w:rFonts w:ascii="Calibri" w:hAnsi="Calibri" w:eastAsia="Calibri"/>
          <w:b w:val="0"/>
          <w:i w:val="0"/>
          <w:color w:val="17212B"/>
          <w:sz w:val="22"/>
        </w:rPr>
        <w:t>At the top of Money plan, use two clear tabs or sections:</w:t>
      </w:r>
    </w:p>
    <w:p>
      <w:pPr>
        <w:pStyle w:val="ListBullet"/>
        <w:spacing w:before="0" w:after="40" w:line="264" w:lineRule="auto"/>
      </w:pPr>
      <w:r>
        <w:rPr>
          <w:rFonts w:ascii="Calibri" w:hAnsi="Calibri" w:eastAsia="Calibri"/>
          <w:b w:val="0"/>
          <w:i w:val="0"/>
          <w:color w:val="17212B"/>
          <w:sz w:val="21"/>
        </w:rPr>
        <w:t>Spend this month: Food, travel, rent and discretionary categories. Example: ‘€800 left to spend.’</w:t>
      </w:r>
    </w:p>
    <w:p>
      <w:pPr>
        <w:pStyle w:val="ListBullet"/>
        <w:spacing w:before="0" w:after="40" w:line="264" w:lineRule="auto"/>
      </w:pPr>
      <w:r>
        <w:rPr>
          <w:rFonts w:ascii="Calibri" w:hAnsi="Calibri" w:eastAsia="Calibri"/>
          <w:b w:val="0"/>
          <w:i w:val="0"/>
          <w:color w:val="17212B"/>
          <w:sz w:val="21"/>
        </w:rPr>
        <w:t>Save and prepare: Tax, pension, savings and future goals. Example: ‘€2,250 set aside’ and ‘45% of €5,000 target.’</w:t>
      </w:r>
    </w:p>
    <w:p>
      <w:pPr>
        <w:spacing w:before="0" w:after="120" w:line="264" w:lineRule="auto"/>
      </w:pPr>
      <w:r>
        <w:rPr>
          <w:rFonts w:ascii="Calibri" w:hAnsi="Calibri" w:eastAsia="Calibri"/>
          <w:b/>
          <w:i w:val="0"/>
          <w:color w:val="3A7D44"/>
          <w:sz w:val="22"/>
        </w:rPr>
        <w:t>A card purchase should update a spending category. A funded pension or tax reserve should build progress, not appear in ‘Spent this month.’</w:t>
      </w:r>
    </w:p>
    <w:p>
      <w:pPr>
        <w:pStyle w:val="Heading2"/>
        <w:keepNext/>
        <w:spacing w:before="240" w:after="80" w:line="264" w:lineRule="auto"/>
      </w:pPr>
      <w:r>
        <w:rPr>
          <w:rFonts w:ascii="Calibri" w:hAnsi="Calibri" w:eastAsia="Calibri"/>
          <w:b/>
          <w:i w:val="0"/>
          <w:color w:val="2E74B5"/>
          <w:sz w:val="26"/>
        </w:rPr>
        <w:t>4. Make contribution rules visible</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90" w:type="dxa"/>
              <w:start w:w="120" w:type="dxa"/>
              <w:bottom w:w="90" w:type="dxa"/>
              <w:end w:w="120" w:type="dxa"/>
            </w:tcMar>
            <w:shd w:fill="EFF7F0" w:val="clear"/>
          </w:tcPr>
          <w:p>
            <w:pPr>
              <w:spacing w:before="0" w:after="0" w:line="264" w:lineRule="auto"/>
            </w:pPr>
            <w:r>
              <w:rPr>
                <w:rFonts w:ascii="Calibri" w:hAnsi="Calibri" w:eastAsia="Calibri"/>
                <w:b/>
                <w:i w:val="0"/>
                <w:color w:val="3A7D44"/>
                <w:sz w:val="20"/>
              </w:rPr>
              <w:t>EQUAL</w:t>
              <w:br/>
            </w:r>
            <w:r>
              <w:rPr>
                <w:rFonts w:ascii="Calibri" w:hAnsi="Calibri" w:eastAsia="Calibri"/>
                <w:b w:val="0"/>
                <w:i w:val="0"/>
                <w:color w:val="17212B"/>
                <w:sz w:val="19"/>
              </w:rPr>
              <w:t>Food: funded 50/50.</w:t>
            </w:r>
          </w:p>
        </w:tc>
        <w:tc>
          <w:tcPr>
            <w:tcW w:type="dxa" w:w="3120"/>
            <w:tcMar>
              <w:top w:w="90" w:type="dxa"/>
              <w:start w:w="120" w:type="dxa"/>
              <w:bottom w:w="90" w:type="dxa"/>
              <w:end w:w="120" w:type="dxa"/>
            </w:tcMar>
            <w:shd w:fill="EFF7F0" w:val="clear"/>
          </w:tcPr>
          <w:p>
            <w:pPr>
              <w:spacing w:before="0" w:after="0" w:line="264" w:lineRule="auto"/>
            </w:pPr>
            <w:r>
              <w:rPr>
                <w:rFonts w:ascii="Calibri" w:hAnsi="Calibri" w:eastAsia="Calibri"/>
                <w:b/>
                <w:i w:val="0"/>
                <w:color w:val="3A7D44"/>
                <w:sz w:val="20"/>
              </w:rPr>
              <w:t>FIXED</w:t>
              <w:br/>
            </w:r>
            <w:r>
              <w:rPr>
                <w:rFonts w:ascii="Calibri" w:hAnsi="Calibri" w:eastAsia="Calibri"/>
                <w:b w:val="0"/>
                <w:i w:val="0"/>
                <w:color w:val="17212B"/>
                <w:sz w:val="19"/>
              </w:rPr>
              <w:t>Holiday: Liya €200, Alex €200 per month.</w:t>
            </w:r>
          </w:p>
        </w:tc>
        <w:tc>
          <w:tcPr>
            <w:tcW w:type="dxa" w:w="3120"/>
            <w:tcMar>
              <w:top w:w="90" w:type="dxa"/>
              <w:start w:w="120" w:type="dxa"/>
              <w:bottom w:w="90" w:type="dxa"/>
              <w:end w:w="120" w:type="dxa"/>
            </w:tcMar>
            <w:shd w:fill="EFF7F0" w:val="clear"/>
          </w:tcPr>
          <w:p>
            <w:pPr>
              <w:spacing w:before="0" w:after="0" w:line="264" w:lineRule="auto"/>
            </w:pPr>
            <w:r>
              <w:rPr>
                <w:rFonts w:ascii="Calibri" w:hAnsi="Calibri" w:eastAsia="Calibri"/>
                <w:b/>
                <w:i w:val="0"/>
                <w:color w:val="3A7D44"/>
                <w:sz w:val="20"/>
              </w:rPr>
              <w:t>PROPORTIONAL</w:t>
              <w:br/>
            </w:r>
            <w:r>
              <w:rPr>
                <w:rFonts w:ascii="Calibri" w:hAnsi="Calibri" w:eastAsia="Calibri"/>
                <w:b w:val="0"/>
                <w:i w:val="0"/>
                <w:color w:val="17212B"/>
                <w:sz w:val="19"/>
              </w:rPr>
              <w:t>Tax: funded in proportion to income.</w:t>
            </w:r>
          </w:p>
        </w:tc>
      </w:tr>
    </w:tbl>
    <w:p>
      <w:pPr>
        <w:pStyle w:val="Heading2"/>
        <w:keepNext/>
        <w:spacing w:before="240" w:after="80" w:line="264" w:lineRule="auto"/>
      </w:pPr>
      <w:r>
        <w:rPr>
          <w:rFonts w:ascii="Calibri" w:hAnsi="Calibri" w:eastAsia="Calibri"/>
          <w:b/>
          <w:i w:val="0"/>
          <w:color w:val="2E74B5"/>
          <w:sz w:val="26"/>
        </w:rPr>
        <w:t>5. Make card spending feel automatic, not mysterious</w:t>
      </w:r>
    </w:p>
    <w:p>
      <w:pPr>
        <w:spacing w:before="0" w:after="120" w:line="264" w:lineRule="auto"/>
      </w:pPr>
      <w:r>
        <w:rPr>
          <w:rFonts w:ascii="Calibri" w:hAnsi="Calibri" w:eastAsia="Calibri"/>
          <w:b w:val="0"/>
          <w:i w:val="0"/>
          <w:color w:val="17212B"/>
          <w:sz w:val="22"/>
        </w:rPr>
        <w:t>Use one short explanation near transactions: “When a card purchase arrives, Wollie categorises it and updates that category’s balance.” Show the category chip, the transaction amount and the new remaining balance. Do not repeat the full envelope status below every transaction.</w:t>
      </w:r>
    </w:p>
    <w:p>
      <w:r>
        <w:br w:type="page"/>
      </w:r>
    </w:p>
    <w:p>
      <w:pPr>
        <w:pStyle w:val="Heading1"/>
        <w:keepNext/>
        <w:spacing w:before="0" w:after="80" w:line="264" w:lineRule="auto"/>
      </w:pPr>
      <w:r>
        <w:rPr>
          <w:rFonts w:ascii="Calibri" w:hAnsi="Calibri" w:eastAsia="Calibri"/>
          <w:b/>
          <w:i w:val="0"/>
          <w:color w:val="2E74B5"/>
          <w:sz w:val="32"/>
        </w:rPr>
        <w:t>Recommended 90-day product priorities</w:t>
      </w:r>
    </w:p>
    <w:p>
      <w:pPr>
        <w:keepNext/>
        <w:spacing w:before="0" w:after="120" w:line="264" w:lineRule="auto"/>
      </w:pPr>
      <w:r>
        <w:rPr>
          <w:rFonts w:ascii="Calibri" w:hAnsi="Calibri" w:eastAsia="Calibri"/>
          <w:b/>
          <w:i w:val="0"/>
          <w:color w:val="082C4C"/>
          <w:sz w:val="22"/>
        </w:rPr>
        <w:t>1. Household scope and permissions</w:t>
        <w:br/>
      </w:r>
      <w:r>
        <w:rPr>
          <w:rFonts w:ascii="Calibri" w:hAnsi="Calibri" w:eastAsia="Calibri"/>
          <w:b w:val="0"/>
          <w:i w:val="0"/>
          <w:color w:val="17212B"/>
          <w:sz w:val="21"/>
        </w:rPr>
        <w:t>Define Private, Shared and Household total only visibility. Make invite, accept, leave and revoke flows safe and simple.</w:t>
      </w:r>
    </w:p>
    <w:p>
      <w:pPr>
        <w:keepNext/>
        <w:spacing w:before="0" w:after="120" w:line="264" w:lineRule="auto"/>
      </w:pPr>
      <w:r>
        <w:rPr>
          <w:rFonts w:ascii="Calibri" w:hAnsi="Calibri" w:eastAsia="Calibri"/>
          <w:b/>
          <w:i w:val="0"/>
          <w:color w:val="082C4C"/>
          <w:sz w:val="22"/>
        </w:rPr>
        <w:t>2. Contribution and funding rules</w:t>
        <w:br/>
      </w:r>
      <w:r>
        <w:rPr>
          <w:rFonts w:ascii="Calibri" w:hAnsi="Calibri" w:eastAsia="Calibri"/>
          <w:b w:val="0"/>
          <w:i w:val="0"/>
          <w:color w:val="17212B"/>
          <w:sz w:val="21"/>
        </w:rPr>
        <w:t>Support fixed, equal and proportional-to-income funding per spending category or goal. Keep a clear audit trail.</w:t>
      </w:r>
    </w:p>
    <w:p>
      <w:pPr>
        <w:keepNext/>
        <w:spacing w:before="0" w:after="120" w:line="264" w:lineRule="auto"/>
      </w:pPr>
      <w:r>
        <w:rPr>
          <w:rFonts w:ascii="Calibri" w:hAnsi="Calibri" w:eastAsia="Calibri"/>
          <w:b/>
          <w:i w:val="0"/>
          <w:color w:val="082C4C"/>
          <w:sz w:val="22"/>
        </w:rPr>
        <w:t>3. Spend versus reserve model</w:t>
        <w:br/>
      </w:r>
      <w:r>
        <w:rPr>
          <w:rFonts w:ascii="Calibri" w:hAnsi="Calibri" w:eastAsia="Calibri"/>
          <w:b w:val="0"/>
          <w:i w:val="0"/>
          <w:color w:val="17212B"/>
          <w:sz w:val="21"/>
        </w:rPr>
        <w:t>Build distinct data and UI states for monthly spending and future reserves. Never label a pension allocation as spent.</w:t>
      </w:r>
    </w:p>
    <w:p>
      <w:pPr>
        <w:keepNext/>
        <w:spacing w:before="0" w:after="120" w:line="264" w:lineRule="auto"/>
      </w:pPr>
      <w:r>
        <w:rPr>
          <w:rFonts w:ascii="Calibri" w:hAnsi="Calibri" w:eastAsia="Calibri"/>
          <w:b/>
          <w:i w:val="0"/>
          <w:color w:val="082C4C"/>
          <w:sz w:val="22"/>
        </w:rPr>
        <w:t>4. Partner Light</w:t>
        <w:br/>
      </w:r>
      <w:r>
        <w:rPr>
          <w:rFonts w:ascii="Calibri" w:hAnsi="Calibri" w:eastAsia="Calibri"/>
          <w:b w:val="0"/>
          <w:i w:val="0"/>
          <w:color w:val="17212B"/>
          <w:sz w:val="21"/>
        </w:rPr>
        <w:t>Create a quick, mobile-friendly view for safe-to-spend, bills, approvals and a weekly household summary.</w:t>
      </w:r>
    </w:p>
    <w:p>
      <w:pPr>
        <w:keepNext/>
        <w:spacing w:before="0" w:after="120" w:line="264" w:lineRule="auto"/>
      </w:pPr>
      <w:r>
        <w:rPr>
          <w:rFonts w:ascii="Calibri" w:hAnsi="Calibri" w:eastAsia="Calibri"/>
          <w:b/>
          <w:i w:val="0"/>
          <w:color w:val="082C4C"/>
          <w:sz w:val="22"/>
        </w:rPr>
        <w:t>5. Monthly planning conversation</w:t>
        <w:br/>
      </w:r>
      <w:r>
        <w:rPr>
          <w:rFonts w:ascii="Calibri" w:hAnsi="Calibri" w:eastAsia="Calibri"/>
          <w:b w:val="0"/>
          <w:i w:val="0"/>
          <w:color w:val="17212B"/>
          <w:sz w:val="21"/>
        </w:rPr>
        <w:t>Add a low-friction check-in for income received, funding progress, proposed changes and decisions.</w:t>
      </w:r>
    </w:p>
    <w:p>
      <w:pPr>
        <w:pStyle w:val="Heading2"/>
        <w:keepNext/>
        <w:spacing w:before="240" w:after="80" w:line="264" w:lineRule="auto"/>
      </w:pPr>
      <w:r>
        <w:rPr>
          <w:rFonts w:ascii="Calibri" w:hAnsi="Calibri" w:eastAsia="Calibri"/>
          <w:b/>
          <w:i w:val="0"/>
          <w:color w:val="2E74B5"/>
          <w:sz w:val="26"/>
        </w:rPr>
        <w:t>Proposed permission model</w:t>
      </w:r>
    </w:p>
    <w:tbl>
      <w:tblPr>
        <w:tblW w:type="dxa" w:w="9360"/>
        <w:jc w:val="left"/>
        <w:tblLayout w:type="fixed"/>
        <w:tblLook w:firstColumn="1" w:firstRow="1" w:lastColumn="0" w:lastRow="0" w:noHBand="0" w:noVBand="1" w:val="04A0"/>
        <w:tblInd w:w="120" w:type="dxa"/>
      </w:tblPr>
      <w:tblGrid>
        <w:gridCol w:w="1750"/>
        <w:gridCol w:w="1700"/>
        <w:gridCol w:w="2000"/>
        <w:gridCol w:w="1900"/>
        <w:gridCol w:w="2010"/>
      </w:tblGrid>
      <w:tr>
        <w:trPr>
          <w:cantSplit/>
          <w:tblHeader w:val="true"/>
        </w:trPr>
        <w:tc>
          <w:tcPr>
            <w:tcW w:type="dxa" w:w="175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LEVEL</w:t>
            </w:r>
          </w:p>
        </w:tc>
        <w:tc>
          <w:tcPr>
            <w:tcW w:type="dxa" w:w="170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BALANCE</w:t>
            </w:r>
          </w:p>
        </w:tc>
        <w:tc>
          <w:tcPr>
            <w:tcW w:type="dxa" w:w="200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MERCHANT</w:t>
            </w:r>
          </w:p>
        </w:tc>
        <w:tc>
          <w:tcPr>
            <w:tcW w:type="dxa" w:w="190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CATEGORY TOTAL</w:t>
            </w:r>
          </w:p>
        </w:tc>
        <w:tc>
          <w:tcPr>
            <w:tcW w:type="dxa" w:w="201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EDIT PLAN</w:t>
            </w:r>
          </w:p>
        </w:tc>
      </w:tr>
      <w:tr>
        <w:trPr>
          <w:cantSplit/>
        </w:trPr>
        <w:tc>
          <w:tcPr>
            <w:tcW w:type="dxa" w:w="1750"/>
            <w:vAlign w:val="top"/>
          </w:tcPr>
          <w:p>
            <w:pPr>
              <w:spacing w:before="0" w:after="20" w:line="264" w:lineRule="auto"/>
            </w:pPr>
            <w:r>
              <w:rPr>
                <w:rFonts w:ascii="Calibri" w:hAnsi="Calibri" w:eastAsia="Calibri"/>
                <w:b w:val="0"/>
                <w:i w:val="0"/>
                <w:color w:val="17212B"/>
                <w:sz w:val="18"/>
              </w:rPr>
              <w:t>Private</w:t>
            </w:r>
          </w:p>
        </w:tc>
        <w:tc>
          <w:tcPr>
            <w:tcW w:type="dxa" w:w="1700"/>
            <w:vAlign w:val="top"/>
          </w:tcPr>
          <w:p>
            <w:pPr>
              <w:spacing w:before="0" w:after="20" w:line="264" w:lineRule="auto"/>
            </w:pPr>
            <w:r>
              <w:rPr>
                <w:rFonts w:ascii="Calibri" w:hAnsi="Calibri" w:eastAsia="Calibri"/>
                <w:b w:val="0"/>
                <w:i w:val="0"/>
                <w:color w:val="17212B"/>
                <w:sz w:val="18"/>
              </w:rPr>
              <w:t>Only owner</w:t>
            </w:r>
          </w:p>
        </w:tc>
        <w:tc>
          <w:tcPr>
            <w:tcW w:type="dxa" w:w="2000"/>
            <w:vAlign w:val="top"/>
          </w:tcPr>
          <w:p>
            <w:pPr>
              <w:spacing w:before="0" w:after="20" w:line="264" w:lineRule="auto"/>
            </w:pPr>
            <w:r>
              <w:rPr>
                <w:rFonts w:ascii="Calibri" w:hAnsi="Calibri" w:eastAsia="Calibri"/>
                <w:b w:val="0"/>
                <w:i w:val="0"/>
                <w:color w:val="17212B"/>
                <w:sz w:val="18"/>
              </w:rPr>
              <w:t>Only owner</w:t>
            </w:r>
          </w:p>
        </w:tc>
        <w:tc>
          <w:tcPr>
            <w:tcW w:type="dxa" w:w="1900"/>
            <w:vAlign w:val="top"/>
          </w:tcPr>
          <w:p>
            <w:pPr>
              <w:spacing w:before="0" w:after="20" w:line="264" w:lineRule="auto"/>
            </w:pPr>
            <w:r>
              <w:rPr>
                <w:rFonts w:ascii="Calibri" w:hAnsi="Calibri" w:eastAsia="Calibri"/>
                <w:b w:val="0"/>
                <w:i w:val="0"/>
                <w:color w:val="17212B"/>
                <w:sz w:val="18"/>
              </w:rPr>
              <w:t>Optional roll-up</w:t>
            </w:r>
          </w:p>
        </w:tc>
        <w:tc>
          <w:tcPr>
            <w:tcW w:type="dxa" w:w="2010"/>
            <w:vAlign w:val="top"/>
          </w:tcPr>
          <w:p>
            <w:pPr>
              <w:spacing w:before="0" w:after="20" w:line="264" w:lineRule="auto"/>
            </w:pPr>
            <w:r>
              <w:rPr>
                <w:rFonts w:ascii="Calibri" w:hAnsi="Calibri" w:eastAsia="Calibri"/>
                <w:b w:val="0"/>
                <w:i w:val="0"/>
                <w:color w:val="17212B"/>
                <w:sz w:val="18"/>
              </w:rPr>
              <w:t>Owner only</w:t>
            </w:r>
          </w:p>
        </w:tc>
      </w:tr>
      <w:tr>
        <w:trPr>
          <w:cantSplit/>
        </w:trPr>
        <w:tc>
          <w:tcPr>
            <w:tcW w:type="dxa" w:w="1750"/>
            <w:vAlign w:val="top"/>
          </w:tcPr>
          <w:p>
            <w:pPr>
              <w:spacing w:before="0" w:after="20" w:line="264" w:lineRule="auto"/>
            </w:pPr>
            <w:r>
              <w:rPr>
                <w:rFonts w:ascii="Calibri" w:hAnsi="Calibri" w:eastAsia="Calibri"/>
                <w:b w:val="0"/>
                <w:i w:val="0"/>
                <w:color w:val="17212B"/>
                <w:sz w:val="18"/>
              </w:rPr>
              <w:t>Shared</w:t>
            </w:r>
          </w:p>
        </w:tc>
        <w:tc>
          <w:tcPr>
            <w:tcW w:type="dxa" w:w="1700"/>
            <w:vAlign w:val="top"/>
          </w:tcPr>
          <w:p>
            <w:pPr>
              <w:spacing w:before="0" w:after="20" w:line="264" w:lineRule="auto"/>
            </w:pPr>
            <w:r>
              <w:rPr>
                <w:rFonts w:ascii="Calibri" w:hAnsi="Calibri" w:eastAsia="Calibri"/>
                <w:b w:val="0"/>
                <w:i w:val="0"/>
                <w:color w:val="17212B"/>
                <w:sz w:val="18"/>
              </w:rPr>
              <w:t>Both partners</w:t>
            </w:r>
          </w:p>
        </w:tc>
        <w:tc>
          <w:tcPr>
            <w:tcW w:type="dxa" w:w="2000"/>
            <w:vAlign w:val="top"/>
          </w:tcPr>
          <w:p>
            <w:pPr>
              <w:spacing w:before="0" w:after="20" w:line="264" w:lineRule="auto"/>
            </w:pPr>
            <w:r>
              <w:rPr>
                <w:rFonts w:ascii="Calibri" w:hAnsi="Calibri" w:eastAsia="Calibri"/>
                <w:b w:val="0"/>
                <w:i w:val="0"/>
                <w:color w:val="17212B"/>
                <w:sz w:val="18"/>
              </w:rPr>
              <w:t>Both partners</w:t>
            </w:r>
          </w:p>
        </w:tc>
        <w:tc>
          <w:tcPr>
            <w:tcW w:type="dxa" w:w="1900"/>
            <w:vAlign w:val="top"/>
          </w:tcPr>
          <w:p>
            <w:pPr>
              <w:spacing w:before="0" w:after="20" w:line="264" w:lineRule="auto"/>
            </w:pPr>
            <w:r>
              <w:rPr>
                <w:rFonts w:ascii="Calibri" w:hAnsi="Calibri" w:eastAsia="Calibri"/>
                <w:b w:val="0"/>
                <w:i w:val="0"/>
                <w:color w:val="17212B"/>
                <w:sz w:val="18"/>
              </w:rPr>
              <w:t>Both partners</w:t>
            </w:r>
          </w:p>
        </w:tc>
        <w:tc>
          <w:tcPr>
            <w:tcW w:type="dxa" w:w="2010"/>
            <w:vAlign w:val="top"/>
          </w:tcPr>
          <w:p>
            <w:pPr>
              <w:spacing w:before="0" w:after="20" w:line="264" w:lineRule="auto"/>
            </w:pPr>
            <w:r>
              <w:rPr>
                <w:rFonts w:ascii="Calibri" w:hAnsi="Calibri" w:eastAsia="Calibri"/>
                <w:b w:val="0"/>
                <w:i w:val="0"/>
                <w:color w:val="17212B"/>
                <w:sz w:val="18"/>
              </w:rPr>
              <w:t>By household role</w:t>
            </w:r>
          </w:p>
        </w:tc>
      </w:tr>
      <w:tr>
        <w:trPr>
          <w:cantSplit/>
        </w:trPr>
        <w:tc>
          <w:tcPr>
            <w:tcW w:type="dxa" w:w="1750"/>
            <w:vAlign w:val="top"/>
          </w:tcPr>
          <w:p>
            <w:pPr>
              <w:spacing w:before="0" w:after="20" w:line="264" w:lineRule="auto"/>
            </w:pPr>
            <w:r>
              <w:rPr>
                <w:rFonts w:ascii="Calibri" w:hAnsi="Calibri" w:eastAsia="Calibri"/>
                <w:b w:val="0"/>
                <w:i w:val="0"/>
                <w:color w:val="17212B"/>
                <w:sz w:val="18"/>
              </w:rPr>
              <w:t>Household total only</w:t>
            </w:r>
          </w:p>
        </w:tc>
        <w:tc>
          <w:tcPr>
            <w:tcW w:type="dxa" w:w="1700"/>
            <w:vAlign w:val="top"/>
          </w:tcPr>
          <w:p>
            <w:pPr>
              <w:spacing w:before="0" w:after="20" w:line="264" w:lineRule="auto"/>
            </w:pPr>
            <w:r>
              <w:rPr>
                <w:rFonts w:ascii="Calibri" w:hAnsi="Calibri" w:eastAsia="Calibri"/>
                <w:b w:val="0"/>
                <w:i w:val="0"/>
                <w:color w:val="17212B"/>
                <w:sz w:val="18"/>
              </w:rPr>
              <w:t>Included in total</w:t>
            </w:r>
          </w:p>
        </w:tc>
        <w:tc>
          <w:tcPr>
            <w:tcW w:type="dxa" w:w="2000"/>
            <w:vAlign w:val="top"/>
          </w:tcPr>
          <w:p>
            <w:pPr>
              <w:spacing w:before="0" w:after="20" w:line="264" w:lineRule="auto"/>
            </w:pPr>
            <w:r>
              <w:rPr>
                <w:rFonts w:ascii="Calibri" w:hAnsi="Calibri" w:eastAsia="Calibri"/>
                <w:b w:val="0"/>
                <w:i w:val="0"/>
                <w:color w:val="17212B"/>
                <w:sz w:val="18"/>
              </w:rPr>
              <w:t>Hidden</w:t>
            </w:r>
          </w:p>
        </w:tc>
        <w:tc>
          <w:tcPr>
            <w:tcW w:type="dxa" w:w="1900"/>
            <w:vAlign w:val="top"/>
          </w:tcPr>
          <w:p>
            <w:pPr>
              <w:spacing w:before="0" w:after="20" w:line="264" w:lineRule="auto"/>
            </w:pPr>
            <w:r>
              <w:rPr>
                <w:rFonts w:ascii="Calibri" w:hAnsi="Calibri" w:eastAsia="Calibri"/>
                <w:b w:val="0"/>
                <w:i w:val="0"/>
                <w:color w:val="17212B"/>
                <w:sz w:val="18"/>
              </w:rPr>
              <w:t>Shared impact only</w:t>
            </w:r>
          </w:p>
        </w:tc>
        <w:tc>
          <w:tcPr>
            <w:tcW w:type="dxa" w:w="2010"/>
            <w:vAlign w:val="top"/>
          </w:tcPr>
          <w:p>
            <w:pPr>
              <w:spacing w:before="0" w:after="20" w:line="264" w:lineRule="auto"/>
            </w:pPr>
            <w:r>
              <w:rPr>
                <w:rFonts w:ascii="Calibri" w:hAnsi="Calibri" w:eastAsia="Calibri"/>
                <w:b w:val="0"/>
                <w:i w:val="0"/>
                <w:color w:val="17212B"/>
                <w:sz w:val="18"/>
              </w:rPr>
              <w:t>Owner controls source</w:t>
            </w:r>
          </w:p>
        </w:tc>
      </w:tr>
    </w:tbl>
    <w:p>
      <w:pPr>
        <w:spacing w:before="0" w:after="120" w:line="264" w:lineRule="auto"/>
      </w:pPr>
      <w:r>
        <w:rPr>
          <w:rFonts w:ascii="Calibri" w:hAnsi="Calibri" w:eastAsia="Calibri"/>
          <w:b/>
          <w:i w:val="0"/>
          <w:color w:val="3A7D44"/>
          <w:sz w:val="21"/>
        </w:rPr>
        <w:t>The household-total-only option is strategically important. It lets a partner contribute to a shared plan without exposing every merchant.</w:t>
      </w:r>
    </w:p>
    <w:p>
      <w:pPr>
        <w:pStyle w:val="Heading2"/>
        <w:keepNext/>
        <w:spacing w:before="240" w:after="80" w:line="264" w:lineRule="auto"/>
      </w:pPr>
      <w:r>
        <w:rPr>
          <w:rFonts w:ascii="Calibri" w:hAnsi="Calibri" w:eastAsia="Calibri"/>
          <w:b/>
          <w:i w:val="0"/>
          <w:color w:val="2E74B5"/>
          <w:sz w:val="26"/>
        </w:rPr>
        <w:t>Invite flow</w:t>
      </w:r>
    </w:p>
    <w:p>
      <w:pPr>
        <w:pStyle w:val="ListNumber"/>
        <w:spacing w:before="0" w:after="40" w:line="264" w:lineRule="auto"/>
      </w:pPr>
      <w:r>
        <w:rPr>
          <w:rFonts w:ascii="Calibri" w:hAnsi="Calibri" w:eastAsia="Calibri"/>
          <w:b w:val="0"/>
          <w:i w:val="0"/>
          <w:color w:val="17212B"/>
          <w:sz w:val="21"/>
        </w:rPr>
        <w:t>Invite by email.</w:t>
      </w:r>
    </w:p>
    <w:p>
      <w:pPr>
        <w:pStyle w:val="ListNumber"/>
        <w:spacing w:before="0" w:after="40" w:line="264" w:lineRule="auto"/>
      </w:pPr>
      <w:r>
        <w:rPr>
          <w:rFonts w:ascii="Calibri" w:hAnsi="Calibri" w:eastAsia="Calibri"/>
          <w:b w:val="0"/>
          <w:i w:val="0"/>
          <w:color w:val="17212B"/>
          <w:sz w:val="21"/>
        </w:rPr>
        <w:t>Recipient sees: “Sign in or create an account to accept.”</w:t>
      </w:r>
    </w:p>
    <w:p>
      <w:pPr>
        <w:pStyle w:val="ListNumber"/>
        <w:spacing w:before="0" w:after="40" w:line="264" w:lineRule="auto"/>
      </w:pPr>
      <w:r>
        <w:rPr>
          <w:rFonts w:ascii="Calibri" w:hAnsi="Calibri" w:eastAsia="Calibri"/>
          <w:b w:val="0"/>
          <w:i w:val="0"/>
          <w:color w:val="17212B"/>
          <w:sz w:val="21"/>
        </w:rPr>
        <w:t>If the address already has a Wollie account, accept without changing its login.</w:t>
      </w:r>
    </w:p>
    <w:p>
      <w:pPr>
        <w:pStyle w:val="ListNumber"/>
        <w:spacing w:before="0" w:after="40" w:line="264" w:lineRule="auto"/>
      </w:pPr>
      <w:r>
        <w:rPr>
          <w:rFonts w:ascii="Calibri" w:hAnsi="Calibri" w:eastAsia="Calibri"/>
          <w:b w:val="0"/>
          <w:i w:val="0"/>
          <w:color w:val="17212B"/>
          <w:sz w:val="21"/>
        </w:rPr>
        <w:t>Before connecting an account, choose: Private, Shared, or Household total only.</w:t>
      </w:r>
    </w:p>
    <w:p>
      <w:pPr>
        <w:pStyle w:val="ListNumber"/>
        <w:spacing w:before="0" w:after="40" w:line="264" w:lineRule="auto"/>
      </w:pPr>
      <w:r>
        <w:rPr>
          <w:rFonts w:ascii="Calibri" w:hAnsi="Calibri" w:eastAsia="Calibri"/>
          <w:b w:val="0"/>
          <w:i w:val="0"/>
          <w:color w:val="17212B"/>
          <w:sz w:val="21"/>
        </w:rPr>
        <w:t>Confirm what each partner can see and change.</w:t>
      </w:r>
    </w:p>
    <w:p>
      <w:r>
        <w:br w:type="page"/>
      </w:r>
    </w:p>
    <w:p>
      <w:pPr>
        <w:pStyle w:val="Heading1"/>
        <w:keepNext/>
        <w:spacing w:before="0" w:after="80" w:line="264" w:lineRule="auto"/>
      </w:pPr>
      <w:r>
        <w:rPr>
          <w:rFonts w:ascii="Calibri" w:hAnsi="Calibri" w:eastAsia="Calibri"/>
          <w:b/>
          <w:i w:val="0"/>
          <w:color w:val="2E74B5"/>
          <w:sz w:val="32"/>
        </w:rPr>
        <w:t>Language, trust and competitive boundaries</w:t>
      </w:r>
    </w:p>
    <w:p>
      <w:pPr>
        <w:pStyle w:val="Heading2"/>
        <w:keepNext/>
        <w:spacing w:before="240" w:after="80" w:line="264" w:lineRule="auto"/>
      </w:pPr>
      <w:r>
        <w:rPr>
          <w:rFonts w:ascii="Calibri" w:hAnsi="Calibri" w:eastAsia="Calibri"/>
          <w:b/>
          <w:i w:val="0"/>
          <w:color w:val="2E74B5"/>
          <w:sz w:val="26"/>
        </w:rPr>
        <w:t>Recommended customer language</w:t>
      </w:r>
    </w:p>
    <w:tbl>
      <w:tblPr>
        <w:tblW w:type="dxa" w:w="9360"/>
        <w:jc w:val="left"/>
        <w:tblLayout w:type="fixed"/>
        <w:tblLook w:firstColumn="1" w:firstRow="1" w:lastColumn="0" w:lastRow="0" w:noHBand="0" w:noVBand="1" w:val="04A0"/>
        <w:tblInd w:w="120" w:type="dxa"/>
      </w:tblPr>
      <w:tblGrid>
        <w:gridCol w:w="3350"/>
        <w:gridCol w:w="6010"/>
      </w:tblGrid>
      <w:tr>
        <w:trPr>
          <w:cantSplit/>
          <w:tblHeader w:val="true"/>
        </w:trPr>
        <w:tc>
          <w:tcPr>
            <w:tcW w:type="dxa" w:w="335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USE</w:t>
            </w:r>
          </w:p>
        </w:tc>
        <w:tc>
          <w:tcPr>
            <w:tcW w:type="dxa" w:w="6010"/>
            <w:tcMar>
              <w:top w:w="90" w:type="dxa"/>
              <w:start w:w="120" w:type="dxa"/>
              <w:bottom w:w="90" w:type="dxa"/>
              <w:end w:w="120" w:type="dxa"/>
            </w:tcMar>
            <w:vAlign w:val="top"/>
            <w:shd w:fill="082C4C" w:val="clear"/>
          </w:tcPr>
          <w:p>
            <w:pPr>
              <w:spacing w:before="0" w:after="0" w:line="264" w:lineRule="auto"/>
            </w:pPr>
            <w:r>
              <w:rPr>
                <w:rFonts w:ascii="Calibri" w:hAnsi="Calibri" w:eastAsia="Calibri"/>
                <w:b/>
                <w:i w:val="0"/>
                <w:color w:val="FFFFFF"/>
                <w:sz w:val="19"/>
              </w:rPr>
              <w:t>WHY</w:t>
            </w:r>
          </w:p>
        </w:tc>
      </w:tr>
      <w:tr>
        <w:trPr>
          <w:cantSplit/>
        </w:trPr>
        <w:tc>
          <w:tcPr>
            <w:tcW w:type="dxa" w:w="3350"/>
            <w:vAlign w:val="top"/>
          </w:tcPr>
          <w:p>
            <w:pPr>
              <w:spacing w:before="0" w:after="20" w:line="264" w:lineRule="auto"/>
            </w:pPr>
            <w:r>
              <w:rPr>
                <w:rFonts w:ascii="Calibri" w:hAnsi="Calibri" w:eastAsia="Calibri"/>
                <w:b w:val="0"/>
                <w:i w:val="0"/>
                <w:color w:val="17212B"/>
                <w:sz w:val="18"/>
              </w:rPr>
              <w:t>Money plan</w:t>
            </w:r>
          </w:p>
        </w:tc>
        <w:tc>
          <w:tcPr>
            <w:tcW w:type="dxa" w:w="6010"/>
            <w:vAlign w:val="top"/>
          </w:tcPr>
          <w:p>
            <w:pPr>
              <w:spacing w:before="0" w:after="20" w:line="264" w:lineRule="auto"/>
            </w:pPr>
            <w:r>
              <w:rPr>
                <w:rFonts w:ascii="Calibri" w:hAnsi="Calibri" w:eastAsia="Calibri"/>
                <w:b w:val="0"/>
                <w:i w:val="0"/>
                <w:color w:val="17212B"/>
                <w:sz w:val="18"/>
              </w:rPr>
              <w:t>Broader and calmer than ‘budget’; includes spending, savings and goals.</w:t>
            </w:r>
          </w:p>
        </w:tc>
      </w:tr>
      <w:tr>
        <w:trPr>
          <w:cantSplit/>
        </w:trPr>
        <w:tc>
          <w:tcPr>
            <w:tcW w:type="dxa" w:w="3350"/>
            <w:vAlign w:val="top"/>
          </w:tcPr>
          <w:p>
            <w:pPr>
              <w:spacing w:before="0" w:after="20" w:line="264" w:lineRule="auto"/>
            </w:pPr>
            <w:r>
              <w:rPr>
                <w:rFonts w:ascii="Calibri" w:hAnsi="Calibri" w:eastAsia="Calibri"/>
                <w:b w:val="0"/>
                <w:i w:val="0"/>
                <w:color w:val="17212B"/>
                <w:sz w:val="18"/>
              </w:rPr>
              <w:t>Spend this month</w:t>
            </w:r>
          </w:p>
        </w:tc>
        <w:tc>
          <w:tcPr>
            <w:tcW w:type="dxa" w:w="6010"/>
            <w:vAlign w:val="top"/>
          </w:tcPr>
          <w:p>
            <w:pPr>
              <w:spacing w:before="0" w:after="20" w:line="264" w:lineRule="auto"/>
            </w:pPr>
            <w:r>
              <w:rPr>
                <w:rFonts w:ascii="Calibri" w:hAnsi="Calibri" w:eastAsia="Calibri"/>
                <w:b w:val="0"/>
                <w:i w:val="0"/>
                <w:color w:val="17212B"/>
                <w:sz w:val="18"/>
              </w:rPr>
              <w:t>Plain label for day-to-day categories.</w:t>
            </w:r>
          </w:p>
        </w:tc>
      </w:tr>
      <w:tr>
        <w:trPr>
          <w:cantSplit/>
        </w:trPr>
        <w:tc>
          <w:tcPr>
            <w:tcW w:type="dxa" w:w="3350"/>
            <w:vAlign w:val="top"/>
          </w:tcPr>
          <w:p>
            <w:pPr>
              <w:spacing w:before="0" w:after="20" w:line="264" w:lineRule="auto"/>
            </w:pPr>
            <w:r>
              <w:rPr>
                <w:rFonts w:ascii="Calibri" w:hAnsi="Calibri" w:eastAsia="Calibri"/>
                <w:b w:val="0"/>
                <w:i w:val="0"/>
                <w:color w:val="17212B"/>
                <w:sz w:val="18"/>
              </w:rPr>
              <w:t>Save and prepare</w:t>
            </w:r>
          </w:p>
        </w:tc>
        <w:tc>
          <w:tcPr>
            <w:tcW w:type="dxa" w:w="6010"/>
            <w:vAlign w:val="top"/>
          </w:tcPr>
          <w:p>
            <w:pPr>
              <w:spacing w:before="0" w:after="20" w:line="264" w:lineRule="auto"/>
            </w:pPr>
            <w:r>
              <w:rPr>
                <w:rFonts w:ascii="Calibri" w:hAnsi="Calibri" w:eastAsia="Calibri"/>
                <w:b w:val="0"/>
                <w:i w:val="0"/>
                <w:color w:val="17212B"/>
                <w:sz w:val="18"/>
              </w:rPr>
              <w:t>Makes tax, pension, savings and future goals feel different from spending.</w:t>
            </w:r>
          </w:p>
        </w:tc>
      </w:tr>
      <w:tr>
        <w:trPr>
          <w:cantSplit/>
        </w:trPr>
        <w:tc>
          <w:tcPr>
            <w:tcW w:type="dxa" w:w="3350"/>
            <w:vAlign w:val="top"/>
          </w:tcPr>
          <w:p>
            <w:pPr>
              <w:spacing w:before="0" w:after="20" w:line="264" w:lineRule="auto"/>
            </w:pPr>
            <w:r>
              <w:rPr>
                <w:rFonts w:ascii="Calibri" w:hAnsi="Calibri" w:eastAsia="Calibri"/>
                <w:b w:val="0"/>
                <w:i w:val="0"/>
                <w:color w:val="17212B"/>
                <w:sz w:val="18"/>
              </w:rPr>
              <w:t>Set aside / funded</w:t>
            </w:r>
          </w:p>
        </w:tc>
        <w:tc>
          <w:tcPr>
            <w:tcW w:type="dxa" w:w="6010"/>
            <w:vAlign w:val="top"/>
          </w:tcPr>
          <w:p>
            <w:pPr>
              <w:spacing w:before="0" w:after="20" w:line="264" w:lineRule="auto"/>
            </w:pPr>
            <w:r>
              <w:rPr>
                <w:rFonts w:ascii="Calibri" w:hAnsi="Calibri" w:eastAsia="Calibri"/>
                <w:b w:val="0"/>
                <w:i w:val="0"/>
                <w:color w:val="17212B"/>
                <w:sz w:val="18"/>
              </w:rPr>
              <w:t>Correct language for reserves and future goals.</w:t>
            </w:r>
          </w:p>
        </w:tc>
      </w:tr>
      <w:tr>
        <w:trPr>
          <w:cantSplit/>
        </w:trPr>
        <w:tc>
          <w:tcPr>
            <w:tcW w:type="dxa" w:w="3350"/>
            <w:vAlign w:val="top"/>
          </w:tcPr>
          <w:p>
            <w:pPr>
              <w:spacing w:before="0" w:after="20" w:line="264" w:lineRule="auto"/>
            </w:pPr>
            <w:r>
              <w:rPr>
                <w:rFonts w:ascii="Calibri" w:hAnsi="Calibri" w:eastAsia="Calibri"/>
                <w:b w:val="0"/>
                <w:i w:val="0"/>
                <w:color w:val="17212B"/>
                <w:sz w:val="18"/>
              </w:rPr>
              <w:t>Available to spend</w:t>
            </w:r>
          </w:p>
        </w:tc>
        <w:tc>
          <w:tcPr>
            <w:tcW w:type="dxa" w:w="6010"/>
            <w:vAlign w:val="top"/>
          </w:tcPr>
          <w:p>
            <w:pPr>
              <w:spacing w:before="0" w:after="20" w:line="264" w:lineRule="auto"/>
            </w:pPr>
            <w:r>
              <w:rPr>
                <w:rFonts w:ascii="Calibri" w:hAnsi="Calibri" w:eastAsia="Calibri"/>
                <w:b w:val="0"/>
                <w:i w:val="0"/>
                <w:color w:val="17212B"/>
                <w:sz w:val="18"/>
              </w:rPr>
              <w:t>Use only when clearly tied to everyday categories.</w:t>
            </w:r>
          </w:p>
        </w:tc>
      </w:tr>
    </w:tbl>
    <w:p>
      <w:pPr>
        <w:pStyle w:val="Heading2"/>
        <w:keepNext/>
        <w:spacing w:before="240" w:after="80" w:line="264" w:lineRule="auto"/>
      </w:pPr>
      <w:r>
        <w:rPr>
          <w:rFonts w:ascii="Calibri" w:hAnsi="Calibri" w:eastAsia="Calibri"/>
          <w:b/>
          <w:i w:val="0"/>
          <w:color w:val="2E74B5"/>
          <w:sz w:val="26"/>
        </w:rPr>
        <w:t>Words to avoid</w:t>
      </w:r>
    </w:p>
    <w:p>
      <w:pPr>
        <w:pStyle w:val="ListBullet"/>
        <w:spacing w:before="0" w:after="40" w:line="264" w:lineRule="auto"/>
      </w:pPr>
      <w:r>
        <w:rPr>
          <w:rFonts w:ascii="Calibri" w:hAnsi="Calibri" w:eastAsia="Calibri"/>
          <w:b w:val="0"/>
          <w:i w:val="0"/>
          <w:color w:val="17212B"/>
          <w:sz w:val="21"/>
        </w:rPr>
        <w:t>Avoid calling a pension, investment or savings allocation ‘spent.’</w:t>
      </w:r>
    </w:p>
    <w:p>
      <w:pPr>
        <w:pStyle w:val="ListBullet"/>
        <w:spacing w:before="0" w:after="40" w:line="264" w:lineRule="auto"/>
      </w:pPr>
      <w:r>
        <w:rPr>
          <w:rFonts w:ascii="Calibri" w:hAnsi="Calibri" w:eastAsia="Calibri"/>
          <w:b w:val="0"/>
          <w:i w:val="0"/>
          <w:color w:val="17212B"/>
          <w:sz w:val="21"/>
        </w:rPr>
        <w:t>Avoid generic ‘household’ labels when the user needs to know whether an account is private, shared or total-only.</w:t>
      </w:r>
    </w:p>
    <w:p>
      <w:pPr>
        <w:pStyle w:val="ListBullet"/>
        <w:spacing w:before="0" w:after="40" w:line="264" w:lineRule="auto"/>
      </w:pPr>
      <w:r>
        <w:rPr>
          <w:rFonts w:ascii="Calibri" w:hAnsi="Calibri" w:eastAsia="Calibri"/>
          <w:b w:val="0"/>
          <w:i w:val="0"/>
          <w:color w:val="17212B"/>
          <w:sz w:val="21"/>
        </w:rPr>
        <w:t>Avoid promising bank-like capabilities. Wollie does not hold or move money.</w:t>
      </w:r>
    </w:p>
    <w:p>
      <w:pPr>
        <w:pStyle w:val="Heading2"/>
        <w:keepNext/>
        <w:spacing w:before="240" w:after="80" w:line="264" w:lineRule="auto"/>
      </w:pPr>
      <w:r>
        <w:rPr>
          <w:rFonts w:ascii="Calibri" w:hAnsi="Calibri" w:eastAsia="Calibri"/>
          <w:b/>
          <w:i w:val="0"/>
          <w:color w:val="2E74B5"/>
          <w:sz w:val="26"/>
        </w:rPr>
        <w:t>Wollie’s trust promise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FF7F0" w:val="clear"/>
            <w:tcBorders>
              <w:top w:val="single" w:sz="6" w:color="2E74B5"/>
              <w:bottom w:val="single" w:sz="6" w:color="2E74B5"/>
            </w:tcBorders>
            <w:vAlign w:val="center"/>
          </w:tcPr>
          <w:p>
            <w:pPr>
              <w:spacing w:before="0" w:after="0" w:line="264" w:lineRule="auto"/>
            </w:pPr>
            <w:r>
              <w:rPr>
                <w:rFonts w:ascii="Calibri" w:hAnsi="Calibri" w:eastAsia="Calibri"/>
                <w:b/>
                <w:i w:val="0"/>
                <w:color w:val="082C4C"/>
                <w:sz w:val="21"/>
              </w:rPr>
              <w:t xml:space="preserve">Suggested copy  </w:t>
            </w:r>
            <w:r>
              <w:rPr>
                <w:rFonts w:ascii="Calibri" w:hAnsi="Calibri" w:eastAsia="Calibri"/>
                <w:b w:val="0"/>
                <w:i w:val="0"/>
                <w:color w:val="17212B"/>
                <w:sz w:val="21"/>
              </w:rPr>
              <w:t>Wollie reads the accounts you choose. It never moves your money. You control what is shared.</w:t>
            </w:r>
          </w:p>
        </w:tc>
      </w:tr>
    </w:tbl>
    <w:p>
      <w:pPr>
        <w:spacing w:after="0"/>
      </w:pPr>
    </w:p>
    <w:p>
      <w:pPr>
        <w:pStyle w:val="Heading2"/>
        <w:keepNext/>
        <w:spacing w:before="240" w:after="80" w:line="264" w:lineRule="auto"/>
      </w:pPr>
      <w:r>
        <w:rPr>
          <w:rFonts w:ascii="Calibri" w:hAnsi="Calibri" w:eastAsia="Calibri"/>
          <w:b/>
          <w:i w:val="0"/>
          <w:color w:val="2E74B5"/>
          <w:sz w:val="26"/>
        </w:rPr>
        <w:t>What the banks teach us</w:t>
      </w:r>
    </w:p>
    <w:p>
      <w:pPr>
        <w:spacing w:before="0" w:after="120" w:line="264" w:lineRule="auto"/>
      </w:pPr>
      <w:r>
        <w:rPr>
          <w:rFonts w:ascii="Calibri" w:hAnsi="Calibri" w:eastAsia="Calibri"/>
          <w:b w:val="0"/>
          <w:i w:val="0"/>
          <w:color w:val="17212B"/>
          <w:sz w:val="22"/>
        </w:rPr>
        <w:t xml:space="preserve">Revolut is a powerful local expectation-setter: its 2025 annual report says one million customers created Joint Accounts that year, and lists joint histories, matching cards, joint budgeting tools, Pockets and savings. </w:t>
      </w:r>
      <w:hyperlink r:id="rId20">
        <w:r>
          <w:rPr>
            <w:color w:val="2E74B5"/>
            <w:u w:val="single"/>
            <w:rFonts w:ascii="Calibri" w:hAnsi="Calibri"/>
          </w:rPr>
          <w:t>Read the annual report</w:t>
        </w:r>
      </w:hyperlink>
    </w:p>
    <w:p>
      <w:pPr>
        <w:spacing w:before="0" w:after="120" w:line="264" w:lineRule="auto"/>
      </w:pPr>
      <w:r>
        <w:rPr>
          <w:rFonts w:ascii="Calibri" w:hAnsi="Calibri" w:eastAsia="Calibri"/>
          <w:b w:val="0"/>
          <w:i w:val="0"/>
          <w:color w:val="17212B"/>
          <w:sz w:val="22"/>
        </w:rPr>
        <w:t xml:space="preserve">Wise is an adjacent controlled-sharing model. In supported regions the group owner retains legal control of the funds and members receive selected spending capabilities. </w:t>
      </w:r>
      <w:hyperlink r:id="rId21">
        <w:r>
          <w:rPr>
            <w:color w:val="2E74B5"/>
            <w:u w:val="single"/>
            <w:rFonts w:ascii="Calibri" w:hAnsi="Calibri"/>
          </w:rPr>
          <w:t>Read Wise’s Spend with others guide</w:t>
        </w:r>
      </w:hyperlink>
    </w:p>
    <w:p>
      <w:pPr>
        <w:spacing w:before="0" w:after="0" w:line="264" w:lineRule="auto"/>
      </w:pPr>
      <w:r>
        <w:rPr>
          <w:rFonts w:ascii="Calibri" w:hAnsi="Calibri" w:eastAsia="Calibri"/>
          <w:b/>
          <w:i w:val="0"/>
          <w:color w:val="082C4C"/>
          <w:sz w:val="22"/>
        </w:rPr>
        <w:t>Wollie should borrow the clarity of account ownership and card spending, while remaining a calm cross-bank planning layer rather than a financial institution.</w:t>
      </w:r>
    </w:p>
    <w:p>
      <w:r>
        <w:br w:type="page"/>
      </w:r>
    </w:p>
    <w:p>
      <w:pPr>
        <w:pStyle w:val="Heading1"/>
        <w:keepNext/>
        <w:spacing w:before="0" w:after="80" w:line="264" w:lineRule="auto"/>
      </w:pPr>
      <w:r>
        <w:rPr>
          <w:rFonts w:ascii="Calibri" w:hAnsi="Calibri" w:eastAsia="Calibri"/>
          <w:b/>
          <w:i w:val="0"/>
          <w:color w:val="2E74B5"/>
          <w:sz w:val="32"/>
        </w:rPr>
        <w:t>Sources and limitations</w:t>
      </w:r>
    </w:p>
    <w:p>
      <w:pPr>
        <w:pStyle w:val="Heading2"/>
        <w:keepNext/>
        <w:spacing w:before="240" w:after="80" w:line="264" w:lineRule="auto"/>
      </w:pPr>
      <w:r>
        <w:rPr>
          <w:rFonts w:ascii="Calibri" w:hAnsi="Calibri" w:eastAsia="Calibri"/>
          <w:b/>
          <w:i w:val="0"/>
          <w:color w:val="2E74B5"/>
          <w:sz w:val="26"/>
        </w:rPr>
        <w:t>Official product sources</w:t>
      </w:r>
    </w:p>
    <w:p>
      <w:pPr>
        <w:spacing w:before="0" w:after="60" w:line="264" w:lineRule="auto"/>
      </w:pPr>
      <w:r>
        <w:rPr>
          <w:rFonts w:ascii="Calibri" w:hAnsi="Calibri" w:eastAsia="Calibri"/>
          <w:b w:val="0"/>
          <w:i/>
          <w:color w:val="667085"/>
          <w:sz w:val="19"/>
        </w:rPr>
        <w:t>All official source pages were accessed on 1 September 2026.</w:t>
      </w:r>
    </w:p>
    <w:p>
      <w:pPr>
        <w:pStyle w:val="ListBullet"/>
        <w:spacing w:before="0" w:after="40" w:line="264" w:lineRule="auto"/>
      </w:pPr>
      <w:hyperlink r:id="rId22">
        <w:r>
          <w:rPr>
            <w:color w:val="2E74B5"/>
            <w:u w:val="single"/>
            <w:rFonts w:ascii="Calibri" w:hAnsi="Calibri"/>
          </w:rPr>
          <w:t>YNAB pricing and trial</w:t>
        </w:r>
      </w:hyperlink>
    </w:p>
    <w:p>
      <w:pPr>
        <w:pStyle w:val="ListBullet"/>
        <w:spacing w:before="0" w:after="40" w:line="264" w:lineRule="auto"/>
      </w:pPr>
      <w:hyperlink r:id="rId23">
        <w:r>
          <w:rPr>
            <w:color w:val="2E74B5"/>
            <w:u w:val="single"/>
            <w:rFonts w:ascii="Calibri" w:hAnsi="Calibri"/>
          </w:rPr>
          <w:t>YNAB subscription sharing</w:t>
        </w:r>
      </w:hyperlink>
    </w:p>
    <w:p>
      <w:pPr>
        <w:pStyle w:val="ListBullet"/>
        <w:spacing w:before="0" w:after="40" w:line="264" w:lineRule="auto"/>
      </w:pPr>
      <w:hyperlink r:id="rId11">
        <w:r>
          <w:rPr>
            <w:color w:val="2E74B5"/>
            <w:u w:val="single"/>
            <w:rFonts w:ascii="Calibri" w:hAnsi="Calibri"/>
          </w:rPr>
          <w:t>YNAB guide to budgeting as a couple</w:t>
        </w:r>
      </w:hyperlink>
    </w:p>
    <w:p>
      <w:pPr>
        <w:pStyle w:val="ListBullet"/>
        <w:spacing w:before="0" w:after="40" w:line="264" w:lineRule="auto"/>
      </w:pPr>
      <w:hyperlink r:id="rId24">
        <w:r>
          <w:rPr>
            <w:color w:val="2E74B5"/>
            <w:u w:val="single"/>
            <w:rFonts w:ascii="Calibri" w:hAnsi="Calibri"/>
          </w:rPr>
          <w:t>Monarch for Couples and Households</w:t>
        </w:r>
      </w:hyperlink>
    </w:p>
    <w:p>
      <w:pPr>
        <w:pStyle w:val="ListBullet"/>
        <w:spacing w:before="0" w:after="40" w:line="264" w:lineRule="auto"/>
      </w:pPr>
      <w:hyperlink r:id="rId25">
        <w:r>
          <w:rPr>
            <w:color w:val="2E74B5"/>
            <w:u w:val="single"/>
            <w:rFonts w:ascii="Calibri" w:hAnsi="Calibri"/>
          </w:rPr>
          <w:t>Monarch pricing</w:t>
        </w:r>
      </w:hyperlink>
    </w:p>
    <w:p>
      <w:pPr>
        <w:pStyle w:val="ListBullet"/>
        <w:spacing w:before="0" w:after="40" w:line="264" w:lineRule="auto"/>
      </w:pPr>
      <w:hyperlink r:id="rId26">
        <w:r>
          <w:rPr>
            <w:color w:val="2E74B5"/>
            <w:u w:val="single"/>
            <w:rFonts w:ascii="Calibri" w:hAnsi="Calibri"/>
          </w:rPr>
          <w:t>Wallet group sharing</w:t>
        </w:r>
      </w:hyperlink>
    </w:p>
    <w:p>
      <w:pPr>
        <w:pStyle w:val="ListBullet"/>
        <w:spacing w:before="0" w:after="40" w:line="264" w:lineRule="auto"/>
      </w:pPr>
      <w:hyperlink r:id="rId27">
        <w:r>
          <w:rPr>
            <w:color w:val="2E74B5"/>
            <w:u w:val="single"/>
            <w:rFonts w:ascii="Calibri" w:hAnsi="Calibri"/>
          </w:rPr>
          <w:t>Wallet overview</w:t>
        </w:r>
      </w:hyperlink>
    </w:p>
    <w:p>
      <w:pPr>
        <w:pStyle w:val="ListBullet"/>
        <w:spacing w:before="0" w:after="40" w:line="264" w:lineRule="auto"/>
      </w:pPr>
      <w:hyperlink r:id="rId28">
        <w:r>
          <w:rPr>
            <w:color w:val="2E74B5"/>
            <w:u w:val="single"/>
            <w:rFonts w:ascii="Calibri" w:hAnsi="Calibri"/>
          </w:rPr>
          <w:t>Spendee shared wallets</w:t>
        </w:r>
      </w:hyperlink>
    </w:p>
    <w:p>
      <w:pPr>
        <w:pStyle w:val="ListBullet"/>
        <w:spacing w:before="0" w:after="40" w:line="264" w:lineRule="auto"/>
      </w:pPr>
      <w:hyperlink r:id="rId29">
        <w:r>
          <w:rPr>
            <w:color w:val="2E74B5"/>
            <w:u w:val="single"/>
            <w:rFonts w:ascii="Calibri" w:hAnsi="Calibri"/>
          </w:rPr>
          <w:t>Spendee Premium</w:t>
        </w:r>
      </w:hyperlink>
    </w:p>
    <w:p>
      <w:pPr>
        <w:pStyle w:val="ListBullet"/>
        <w:spacing w:before="0" w:after="40" w:line="264" w:lineRule="auto"/>
      </w:pPr>
      <w:hyperlink r:id="rId20">
        <w:r>
          <w:rPr>
            <w:color w:val="2E74B5"/>
            <w:u w:val="single"/>
            <w:rFonts w:ascii="Calibri" w:hAnsi="Calibri"/>
          </w:rPr>
          <w:t>Revolut 2025 annual report</w:t>
        </w:r>
      </w:hyperlink>
    </w:p>
    <w:p>
      <w:pPr>
        <w:pStyle w:val="ListBullet"/>
        <w:spacing w:before="0" w:after="40" w:line="264" w:lineRule="auto"/>
      </w:pPr>
      <w:hyperlink r:id="rId21">
        <w:r>
          <w:rPr>
            <w:color w:val="2E74B5"/>
            <w:u w:val="single"/>
            <w:rFonts w:ascii="Calibri" w:hAnsi="Calibri"/>
          </w:rPr>
          <w:t>Wise: Spend with others</w:t>
        </w:r>
      </w:hyperlink>
    </w:p>
    <w:p>
      <w:pPr>
        <w:pStyle w:val="Heading2"/>
        <w:keepNext/>
        <w:spacing w:before="240" w:after="80" w:line="264" w:lineRule="auto"/>
      </w:pPr>
      <w:r>
        <w:rPr>
          <w:rFonts w:ascii="Calibri" w:hAnsi="Calibri" w:eastAsia="Calibri"/>
          <w:b/>
          <w:i w:val="0"/>
          <w:color w:val="2E74B5"/>
          <w:sz w:val="26"/>
        </w:rPr>
        <w:t>Public user-discussion signals</w:t>
      </w:r>
    </w:p>
    <w:p>
      <w:pPr>
        <w:pStyle w:val="ListBullet"/>
        <w:spacing w:before="0" w:after="40" w:line="264" w:lineRule="auto"/>
      </w:pPr>
      <w:hyperlink r:id="rId30">
        <w:r>
          <w:rPr>
            <w:color w:val="2E74B5"/>
            <w:u w:val="single"/>
            <w:rFonts w:ascii="Calibri" w:hAnsi="Calibri"/>
          </w:rPr>
          <w:t>YNAB: couples who track expenses together</w:t>
        </w:r>
      </w:hyperlink>
    </w:p>
    <w:p>
      <w:pPr>
        <w:pStyle w:val="ListBullet"/>
        <w:spacing w:before="0" w:after="40" w:line="264" w:lineRule="auto"/>
      </w:pPr>
      <w:hyperlink r:id="rId17">
        <w:r>
          <w:rPr>
            <w:color w:val="2E74B5"/>
            <w:u w:val="single"/>
            <w:rFonts w:ascii="Calibri" w:hAnsi="Calibri"/>
          </w:rPr>
          <w:t>YNAB: shared bank account setup</w:t>
        </w:r>
      </w:hyperlink>
    </w:p>
    <w:p>
      <w:pPr>
        <w:pStyle w:val="ListBullet"/>
        <w:spacing w:before="0" w:after="40" w:line="264" w:lineRule="auto"/>
      </w:pPr>
      <w:hyperlink r:id="rId16">
        <w:r>
          <w:rPr>
            <w:color w:val="2E74B5"/>
            <w:u w:val="single"/>
            <w:rFonts w:ascii="Calibri" w:hAnsi="Calibri"/>
          </w:rPr>
          <w:t>YNAB: privacy and gifts</w:t>
        </w:r>
      </w:hyperlink>
    </w:p>
    <w:p>
      <w:pPr>
        <w:pStyle w:val="ListBullet"/>
        <w:spacing w:before="0" w:after="40" w:line="264" w:lineRule="auto"/>
      </w:pPr>
      <w:hyperlink r:id="rId31">
        <w:r>
          <w:rPr>
            <w:color w:val="2E74B5"/>
            <w:u w:val="single"/>
            <w:rFonts w:ascii="Calibri" w:hAnsi="Calibri"/>
          </w:rPr>
          <w:t>YNAB: collaboration when one partner runs the budget</w:t>
        </w:r>
      </w:hyperlink>
    </w:p>
    <w:p>
      <w:pPr>
        <w:pStyle w:val="ListBullet"/>
        <w:spacing w:before="0" w:after="40" w:line="264" w:lineRule="auto"/>
      </w:pPr>
      <w:hyperlink r:id="rId32">
        <w:r>
          <w:rPr>
            <w:color w:val="2E74B5"/>
            <w:u w:val="single"/>
            <w:rFonts w:ascii="Calibri" w:hAnsi="Calibri"/>
          </w:rPr>
          <w:t>Monarch: household member options</w:t>
        </w:r>
      </w:hyperlink>
    </w:p>
    <w:p>
      <w:pPr>
        <w:pStyle w:val="ListBullet"/>
        <w:spacing w:before="0" w:after="40" w:line="264" w:lineRule="auto"/>
      </w:pPr>
      <w:hyperlink r:id="rId18">
        <w:r>
          <w:rPr>
            <w:color w:val="2E74B5"/>
            <w:u w:val="single"/>
            <w:rFonts w:ascii="Calibri" w:hAnsi="Calibri"/>
          </w:rPr>
          <w:t>Monarch: automatic partner budget splits</w:t>
        </w:r>
      </w:hyperlink>
    </w:p>
    <w:p>
      <w:pPr>
        <w:pStyle w:val="ListBullet"/>
        <w:spacing w:before="0" w:after="40" w:line="264" w:lineRule="auto"/>
      </w:pPr>
      <w:hyperlink r:id="rId19">
        <w:r>
          <w:rPr>
            <w:color w:val="2E74B5"/>
            <w:u w:val="single"/>
            <w:rFonts w:ascii="Calibri" w:hAnsi="Calibri"/>
          </w:rPr>
          <w:t>Wallet: joint and personal accounts</w:t>
        </w:r>
      </w:hyperlink>
    </w:p>
    <w:p>
      <w:pPr>
        <w:pStyle w:val="Heading2"/>
        <w:keepNext/>
        <w:spacing w:before="240" w:after="80" w:line="264" w:lineRule="auto"/>
      </w:pPr>
      <w:r>
        <w:rPr>
          <w:rFonts w:ascii="Calibri" w:hAnsi="Calibri" w:eastAsia="Calibri"/>
          <w:b/>
          <w:i w:val="0"/>
          <w:color w:val="2E74B5"/>
          <w:sz w:val="26"/>
        </w:rPr>
        <w:t>Method limitations</w:t>
      </w:r>
    </w:p>
    <w:p>
      <w:pPr>
        <w:spacing w:before="0" w:after="0" w:line="264" w:lineRule="auto"/>
      </w:pPr>
      <w:r>
        <w:rPr>
          <w:rFonts w:ascii="Calibri" w:hAnsi="Calibri" w:eastAsia="Calibri"/>
          <w:b w:val="0"/>
          <w:i w:val="0"/>
          <w:color w:val="17212B"/>
          <w:sz w:val="22"/>
        </w:rPr>
        <w:t>This is desk research plus three safe, zero-data trial accounts. It does not test live bank connections, regulated account opening, identity verification, paid subscriptions, support quality, account closure or long-term transaction classification. Public Reddit posts are qualitative and may be dated, incomplete or unrepresentative.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200"/>
      <w:gridCol w:w="2160"/>
    </w:tblGrid>
    <w:tr>
      <w:tc>
        <w:tcPr>
          <w:tcW w:type="dxa" w:w="7200"/>
          <w:tcMar>
            <w:top w:w="90" w:type="dxa"/>
            <w:start w:w="120" w:type="dxa"/>
            <w:bottom w:w="90" w:type="dxa"/>
            <w:end w:w="120" w:type="dxa"/>
          </w:tcMar>
        </w:tcPr>
        <w:p>
          <w:pPr>
            <w:spacing w:before="0" w:after="0" w:line="264" w:lineRule="auto"/>
          </w:pPr>
          <w:r>
            <w:rPr>
              <w:rFonts w:ascii="Calibri" w:hAnsi="Calibri" w:eastAsia="Calibri"/>
              <w:b w:val="0"/>
              <w:i w:val="0"/>
              <w:color w:val="667085"/>
              <w:sz w:val="16"/>
            </w:rPr>
            <w:t>Wollie product research  •  private working document</w:t>
          </w:r>
        </w:p>
      </w:tc>
      <w:tc>
        <w:tcPr>
          <w:tcW w:type="dxa" w:w="2160"/>
          <w:tcMar>
            <w:top w:w="90" w:type="dxa"/>
            <w:start w:w="120" w:type="dxa"/>
            <w:bottom w:w="90" w:type="dxa"/>
            <w:end w:w="120" w:type="dxa"/>
          </w:tcMar>
        </w:tcPr>
        <w:p>
          <w:pPr>
            <w:spacing w:before="0" w:after="0" w:line="264" w:lineRule="auto"/>
            <w:jc w:val="right"/>
          </w:pPr>
          <w:r>
            <w:rPr>
              <w:rFonts w:ascii="Calibri" w:hAnsi="Calibri" w:eastAsia="Calibri"/>
              <w:b w:val="0"/>
              <w:i w:val="0"/>
              <w:color w:val="667085"/>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6000"/>
      <w:gridCol w:w="3360"/>
    </w:tblGrid>
    <w:tr>
      <w:tc>
        <w:tcPr>
          <w:tcW w:type="dxa" w:w="6000"/>
          <w:tcMar>
            <w:top w:w="90" w:type="dxa"/>
            <w:start w:w="120" w:type="dxa"/>
            <w:bottom w:w="90" w:type="dxa"/>
            <w:end w:w="120" w:type="dxa"/>
          </w:tcMar>
        </w:tcPr>
        <w:p>
          <w:pPr>
            <w:spacing w:before="0" w:after="0" w:line="264" w:lineRule="auto"/>
          </w:pPr>
          <w:r>
            <w:rPr>
              <w:rFonts w:ascii="Calibri" w:hAnsi="Calibri" w:eastAsia="Calibri"/>
              <w:b/>
              <w:i w:val="0"/>
              <w:color w:val="082C4C"/>
              <w:sz w:val="16"/>
            </w:rPr>
            <w:t>WOLLIE  /  COUPLES FINANCE RESEARCH</w:t>
          </w:r>
        </w:p>
      </w:tc>
      <w:tc>
        <w:tcPr>
          <w:tcW w:type="dxa" w:w="3360"/>
          <w:tcMar>
            <w:top w:w="90" w:type="dxa"/>
            <w:start w:w="120" w:type="dxa"/>
            <w:bottom w:w="90" w:type="dxa"/>
            <w:end w:w="120" w:type="dxa"/>
          </w:tcMar>
        </w:tcPr>
        <w:p>
          <w:pPr>
            <w:spacing w:before="0" w:after="0" w:line="264" w:lineRule="auto"/>
            <w:jc w:val="right"/>
          </w:pPr>
          <w:r>
            <w:rPr>
              <w:rFonts w:ascii="Calibri" w:hAnsi="Calibri" w:eastAsia="Calibri"/>
              <w:b w:val="0"/>
              <w:i w:val="0"/>
              <w:color w:val="667085"/>
              <w:sz w:val="16"/>
            </w:rPr>
            <w:t>1 September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66708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nab.com/guide/budgeting-as-a-couple"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www.reddit.com/r/ynab/comments/z2tt2y" TargetMode="External"/><Relationship Id="rId17" Type="http://schemas.openxmlformats.org/officeDocument/2006/relationships/hyperlink" Target="https://www.reddit.com/r/ynab/comments/1tjdej2/how_to_budget_a_shared_bank_account/" TargetMode="External"/><Relationship Id="rId18" Type="http://schemas.openxmlformats.org/officeDocument/2006/relationships/hyperlink" Target="https://www.reddit.com/r/MonarchMoney/comments/160b0lw" TargetMode="External"/><Relationship Id="rId19" Type="http://schemas.openxmlformats.org/officeDocument/2006/relationships/hyperlink" Target="https://www.reddit.com/r/BudgetBakers/comments/18wjv9b" TargetMode="External"/><Relationship Id="rId20" Type="http://schemas.openxmlformats.org/officeDocument/2006/relationships/hyperlink" Target="https://assets.revolut.com/pdf/annualreport2025.pdf" TargetMode="External"/><Relationship Id="rId21" Type="http://schemas.openxmlformats.org/officeDocument/2006/relationships/hyperlink" Target="https://wise.com/help/articles/4nyqakqieuWseODSZAUCzi/how-to-use-spend-with-others" TargetMode="External"/><Relationship Id="rId22" Type="http://schemas.openxmlformats.org/officeDocument/2006/relationships/hyperlink" Target="https://www.ynab.com/pricing/" TargetMode="External"/><Relationship Id="rId23" Type="http://schemas.openxmlformats.org/officeDocument/2006/relationships/hyperlink" Target="https://www.ynab.com/features/subscription-sharing" TargetMode="External"/><Relationship Id="rId24" Type="http://schemas.openxmlformats.org/officeDocument/2006/relationships/hyperlink" Target="https://help.monarch.com/hc/en-us/articles/20926382202004-Monarch-for-Couples-and-Households" TargetMode="External"/><Relationship Id="rId25" Type="http://schemas.openxmlformats.org/officeDocument/2006/relationships/hyperlink" Target="https://help.monarch.com/hc/en-us/articles/9136169422996-Pricing" TargetMode="External"/><Relationship Id="rId26" Type="http://schemas.openxmlformats.org/officeDocument/2006/relationships/hyperlink" Target="https://support.budgetbakers.com/hc/en-us/articles/7149394922002-Everything-about-Group-Sharing" TargetMode="External"/><Relationship Id="rId27" Type="http://schemas.openxmlformats.org/officeDocument/2006/relationships/hyperlink" Target="https://support.budgetbakers.com/hc/en-us/articles/12212428113810-What-is-the-Wallet-app" TargetMode="External"/><Relationship Id="rId28" Type="http://schemas.openxmlformats.org/officeDocument/2006/relationships/hyperlink" Target="https://help.spendee.com/article/224-shared-wallets" TargetMode="External"/><Relationship Id="rId29" Type="http://schemas.openxmlformats.org/officeDocument/2006/relationships/hyperlink" Target="https://help.spendee.com/article/202-what-is-spendee-premium" TargetMode="External"/><Relationship Id="rId30" Type="http://schemas.openxmlformats.org/officeDocument/2006/relationships/hyperlink" Target="https://www.reddit.com/r/ynab/comments/1ko2yhr/couples_who_track_expenses_together_how_do_you/" TargetMode="External"/><Relationship Id="rId31" Type="http://schemas.openxmlformats.org/officeDocument/2006/relationships/hyperlink" Target="https://www.reddit.com/r/ynab/comments/1swe8xf/need_advice_for_couples_collab_in_ynab/" TargetMode="External"/><Relationship Id="rId32" Type="http://schemas.openxmlformats.org/officeDocument/2006/relationships/hyperlink" Target="https://www.reddit.com/r/MonarchMoney/comments/1tzf5ub/options_for_household_me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Couples finance apps: product, UX and market research</dc:title>
  <dc:subject>Competitive research and product recommendations for Wollie</dc:subject>
  <dc:creator>Wollie research</dc:creator>
  <cp:keywords>Wollie, couples, money planning, budgeting, UX, competitive research</cp:keywords>
  <dc:description>generated by python-docx</dc:description>
  <cp:lastModifiedBy/>
  <cp:revision>1</cp:revision>
  <dcterms:created xsi:type="dcterms:W3CDTF">2013-12-23T23:15:00Z</dcterms:created>
  <dcterms:modified xsi:type="dcterms:W3CDTF">2013-12-23T23:15:00Z</dcterms:modified>
  <cp:category/>
</cp:coreProperties>
</file>