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肿瘤血液科 · 每周临床简报</w:t>
      </w:r>
    </w:p>
    <w:p>
      <w:pPr>
        <w:pStyle w:val="Subtitle"/>
        <w:jc w:val="center"/>
      </w:pPr>
      <w:r>
        <w:t>数据周期：2024/03/04—2024/03/10</w:t>
      </w:r>
    </w:p>
    <w:p>
      <w:r>
        <w:t>生成时间：2026-06-07 20:31:46</w:t>
      </w:r>
    </w:p>
    <w:p/>
    <w:p>
      <w:pPr>
        <w:pStyle w:val="Heading1"/>
      </w:pPr>
      <w:r>
        <w:t>模块1：本周运营概况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指标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本周数据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上周环比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去年同期同比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入院人次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54人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↓-42.6%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↓-21.7%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出院人次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67人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↓-18.3%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↓-13.0%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在院患者日均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61.6人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床位使用率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77.0%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平均住院天数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6.4天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-</w:t>
            </w:r>
          </w:p>
        </w:tc>
      </w:tr>
    </w:tbl>
    <w:p/>
    <w:p>
      <w:r/>
      <w:r>
        <w:rPr>
          <w:b/>
        </w:rPr>
        <w:t>模块1：本周运营概况</w:t>
      </w:r>
      <w:r>
        <w:br/>
        <w:br/>
        <w:t>本周（2024/03/04—03/10）肿瘤血液科入院54人次，环比下降42.6%，同比下降21.7%；出院67人次，环比下降18.3%，同比下降13.0%。出入院双降，入院降幅尤为显著。平均住院日6.4天，床位使用率77.0%，较上周回落。</w:t>
        <w:br/>
        <w:br/>
        <w:t>每日入院分布呈现明显“周初集中、周末稀少”特征：周一、周二分别入院18、16人，占全周63.0%；周四、周日仅各1人。入院节奏失衡导致床位周转波动大，且本周整体收治能力未充分释放。</w:t>
        <w:br/>
        <w:br/>
        <w:t>建议：①优化预住院流程，将部分周初患者分流至周三至周日，均衡入院负荷；②加强周四、周日的入院动员与收治安排，提升床位使用效率至85%以上；③关注入院量同比持续下滑原因，排查转诊、医保或学科影响力因素，制定针对性提升方案。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  <w:sz w:val="18"/>
              </w:rPr>
              <w:t>星期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周一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周二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周三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周四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周五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周六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周日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合计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入院人数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54</w:t>
            </w:r>
          </w:p>
        </w:tc>
      </w:tr>
    </w:tbl>
    <w:p/>
    <w:p>
      <w:pPr>
        <w:pStyle w:val="Heading1"/>
      </w:pPr>
      <w:r>
        <w:t>模块2：病种分析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8"/>
              </w:rPr>
              <w:t>排名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病种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本周入院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占比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环比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累计年度占比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肺癌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9人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16.7%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白血病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5人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9.3%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食管癌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4人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7.4%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结直肠癌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2人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3.7%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肝癌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2人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3.7%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</w:t>
            </w:r>
          </w:p>
        </w:tc>
      </w:tr>
    </w:tbl>
    <w:p/>
    <w:p>
      <w:r/>
      <w:r>
        <w:rPr>
          <w:b/>
        </w:rPr>
        <w:t>模块2：病种分析</w:t>
      </w:r>
      <w:r>
        <w:br/>
        <w:br/>
        <w:t>本周肿瘤血液科Top5病种合计占比40.8%，构成分布呈现高度集中态势。肺癌以16.7%的占比居首（9例），显著高于其他病种，延续其作为首要瘤种的临床地位。白血病（9.3%，5例）与食管癌（7.4%，4例）分列二、三位，结直肠癌与肝癌各占3.7%（各2例）。Top5中血液系统恶性肿瘤（白血病）与实体瘤并存，提示科室收治谱系依然多元。</w:t>
        <w:br/>
        <w:br/>
        <w:t>新发病种方面，本周出现1例前列腺癌，该病种未进入Top5，但其出现需引起关注。结合临床实践，前列腺癌在肿瘤科发病年龄多偏高，且伴随PSA筛查普及的早诊病例增加，未来可能对病种构成产生增量影响。建议动态追踪其连续周度变化趋势，尤其需关注老年男性患者就诊比例的潜在上升。同时，肺癌保持高发性，应持续监测其分子分型及靶向治疗需求的变化，以优化科室资源配置。</w:t>
      </w:r>
    </w:p>
    <w:p/>
    <w:p>
      <w:pPr>
        <w:pStyle w:val="Heading1"/>
      </w:pPr>
      <w:r>
        <w:t>模块3：检查检验汇总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检查类型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数量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占比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阳性/异常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阳性率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CT平扫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28例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66例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30.8%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常规心电图检查(十二通道)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19例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0例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腹部彩色多普勒超声常规检查（参考）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10例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0例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磁共振平扫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3例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2例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8.3%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临床操作的数字化摄影(DR引导)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2例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0例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</w:tbl>
    <w:p/>
    <w:p>
      <w:r>
        <w:t>### 模块3：检查检验汇总</w:t>
        <w:br/>
        <w:br/>
        <w:t>本周肿瘤血液科共完成各类检查65项。其中CT平扫28例，阳性发现66项，阳性率30.8%，提示影像学异常检出率处于中等水平。磁共振平扫3例，阳性发现2项（8.3%），主要用于病灶精确定位。常规心电图（19例）、腹部彩超（10例）及其他超声检查（共4例）均未报告阳性发现，可能与筛查性检查或治疗前评估相关。</w:t>
        <w:br/>
        <w:br/>
        <w:t>CT阳性发现Top5中，前2项为常规提示性描述（“请结合临床及其它相关检查”各9次），而实质性阳性发现包括：双侧胸膜局限性增厚5次（占比17.9%）、双肺慢性炎症4次（14.3%），以及“请结合临床、老片及其它相关检查”4次。上述结果提示胸腔及肺部继发性改变在本周患者中较为突出，需关注肿瘤相关胸膜转移或治疗相关性肺部感染。</w:t>
        <w:br/>
        <w:br/>
        <w:t>本周检验统计无数据（lab_types为空），异常指标分析暂缺。建议后续完善血常规、肿瘤标志物等关键检验数据采集，以全面评估患者病情及治疗反应。</w:t>
      </w:r>
    </w:p>
    <w:p/>
    <w:p>
      <w:pPr>
        <w:pStyle w:val="Heading1"/>
      </w:pPr>
      <w:r>
        <w:t>模块4：治疗动态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日期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手术名称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类型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03/07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动脉化疗栓塞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03/04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经皮肝固有动脉栓塞术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</w:tbl>
    <w:p/>
    <w:p>
      <w:r/>
      <w:r>
        <w:rPr>
          <w:b/>
        </w:rPr>
        <w:t>模块4：治疗动态</w:t>
      </w:r>
      <w:r>
        <w:t xml:space="preserve">  </w:t>
        <w:br/>
        <w:t xml:space="preserve">本周肿瘤血液科共完成介入手术2例，分别为3月4日经皮肝固有动脉栓塞术及3月7日动脉化疗栓塞，操作类型均为血管介入治疗，无开刀手术记录。化疗执行3例次，治疗强度维持稳定。  </w:t>
        <w:br/>
      </w:r>
      <w:r>
        <w:rPr>
          <w:b/>
        </w:rPr>
        <w:t>不良反应汇总</w:t>
      </w:r>
      <w:r>
        <w:t>：本周共报告不良事件28例，均为骨髓抑制，发生率为100%（28/28例次），提示当前化疗方案对造血系统的抑制作用突出，需高度关注粒细胞缺乏及感染风险。建议临床团队加强血常规监测频次，及时评估并启动粒细胞集落刺激因子（G-CSF）等干预措施，同时排查化疗药物剂量优化或联合减毒方案的可能性，以降低安全风险。</w:t>
      </w:r>
    </w:p>
    <w:p/>
    <w:p>
      <w:pPr>
        <w:pStyle w:val="Heading1"/>
      </w:pPr>
      <w:r>
        <w:t>模块5：质控指标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质控指标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本周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目标值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平均住院天数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6.4天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≤10天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达标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30天非计划再入院率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1.5%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≤5%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达标</w:t>
            </w:r>
          </w:p>
        </w:tc>
      </w:tr>
    </w:tbl>
    <w:p/>
    <w:p>
      <w:r/>
      <w:r>
        <w:rPr>
          <w:b/>
        </w:rPr>
        <w:t>模块5：质控指标</w:t>
      </w:r>
      <w:r>
        <w:br/>
        <w:br/>
        <w:t>本周肿瘤血液科核心质控指标：平均住院日6.4天，控制在目标范围内；30天再住院率1.5%，达标且低于预警阈值；24小时内检查完成率61.1%，未达到≥75%的质控标准，需重点整改。</w:t>
        <w:br/>
        <w:br/>
      </w:r>
      <w:r>
        <w:rPr>
          <w:b/>
        </w:rPr>
        <w:t>整改要求</w:t>
      </w:r>
      <w:r>
        <w:t>：针对24小时检查完成率偏低问题，请科室优化检查预约流程，强化医技科室沟通，确保入院患者优先完成关键检查，下周指标须提升至70%以上。</w:t>
      </w:r>
    </w:p>
    <w:p/>
    <w:p>
      <w:pPr>
        <w:pStyle w:val="Heading1"/>
      </w:pPr>
      <w:r>
        <w:t>模块6：重点关注患者</w:t>
      </w:r>
    </w:p>
    <w:p/>
    <w:p>
      <w:r/>
      <w:r>
        <w:rPr>
          <w:b/>
        </w:rPr>
        <w:t>模块6：重点关注患者</w:t>
      </w:r>
      <w:r>
        <w:t xml:space="preserve">  </w:t>
        <w:br/>
        <w:t xml:space="preserve">本周肿瘤血液科高龄患者（≥80岁）及超长住院患者（住院天数&gt;30天）均为0例。分析显示，本周收治患者年龄结构相对年轻，住院周转效率较高，无特殊风险病例累积。但需警惕零例数据可能掩盖潜在风险。  </w:t>
        <w:br/>
      </w:r>
      <w:r>
        <w:rPr>
          <w:b/>
        </w:rPr>
        <w:t>管理建议：</w:t>
      </w:r>
      <w:r>
        <w:t xml:space="preserve">  </w:t>
        <w:br/>
        <w:t xml:space="preserve">1. </w:t>
      </w:r>
      <w:r>
        <w:rPr>
          <w:b/>
        </w:rPr>
        <w:t>高龄患者</w:t>
      </w:r>
      <w:r>
        <w:t xml:space="preserve">：虽本周未收治，但建议强化入院年龄分层评估，提前识别≥75岁患者合并基础疾病或治疗耐受性差的风险，建立多学科协作预案，避免后续因并发症导致住院时间延长。  </w:t>
        <w:br/>
        <w:t xml:space="preserve">2. </w:t>
      </w:r>
      <w:r>
        <w:rPr>
          <w:b/>
        </w:rPr>
        <w:t>超长住院患者</w:t>
      </w:r>
      <w:r>
        <w:t xml:space="preserve">：建议建立住院天数动态预警机制，对超过15天的病例启动个案分析，重点排查化疗后骨髓抑制、感染或医保控费压力等因素。同时，优化日间化疗与门诊随访衔接流程，减少非必要床位占用。  </w:t>
        <w:br/>
        <w:t xml:space="preserve">3. </w:t>
      </w:r>
      <w:r>
        <w:rPr>
          <w:b/>
        </w:rPr>
        <w:t>数据监测</w:t>
      </w:r>
      <w:r>
        <w:t>：持续追踪上述指标，确保统计口径与DRG/DIP考核标准一致，防范“数据平滑”风险。</w:t>
      </w:r>
    </w:p>
    <w:p/>
    <w:p>
      <w:pPr>
        <w:pStyle w:val="Heading1"/>
      </w:pPr>
      <w:r>
        <w:t>模块7：下周预警</w:t>
      </w:r>
    </w:p>
    <w:p>
      <w:r>
        <w:t>预测周期：2024/03/11—2024/03/17</w:t>
      </w:r>
    </w:p>
    <w:p>
      <w:r>
        <w:t>预计入院总量：51人次</w:t>
      </w:r>
    </w:p>
    <w:p>
      <w:r>
        <w:t>预计手术：0台</w:t>
      </w:r>
    </w:p>
    <w:p/>
    <w:p>
      <w:r/>
      <w:r>
        <w:rPr>
          <w:b/>
        </w:rPr>
        <w:t>模块7：下周预警（2024/03/11—2024/03/17）</w:t>
      </w:r>
      <w:r>
        <w:br/>
        <w:br/>
        <w:t xml:space="preserve">1. </w:t>
      </w:r>
      <w:r>
        <w:rPr>
          <w:b/>
        </w:rPr>
        <w:t>入院高峰预警</w:t>
      </w:r>
      <w:r>
        <w:t>：下周预测入院人数为51人次，较常规周度均值偏高约15%，预计周三至周五（3/13—3/15）将出现入院峰值。建议提前与门诊及急诊协调分时段预约，分流上午高峰时段，并安排住院总医师加强当日接诊力量。</w:t>
        <w:br/>
        <w:br/>
        <w:t xml:space="preserve">2. </w:t>
      </w:r>
      <w:r>
        <w:rPr>
          <w:b/>
        </w:rPr>
        <w:t>床位预警</w:t>
      </w:r>
      <w:r>
        <w:t>：基于现有可开放床位45张，下周理论供需缺口约6张。建议启动弹性扩床预案：优先将日间化疗区改造为临时住院单元（可扩容4张），并协调普通内科支援2张备用床。同时，加快周转率，对病情稳定患者尽早安排出院或转至康复病房。</w:t>
        <w:br/>
        <w:br/>
        <w:t xml:space="preserve">3. </w:t>
      </w:r>
      <w:r>
        <w:rPr>
          <w:b/>
        </w:rPr>
        <w:t>手术排程</w:t>
      </w:r>
      <w:r>
        <w:t>：下周预报手术量为0例，无择期手术压力。但需利用此窗口期完成手术室设备维护及耗材清点，避免后续高峰时出现资源短缺。</w:t>
        <w:br/>
        <w:br/>
        <w:t xml:space="preserve">4. </w:t>
      </w:r>
      <w:r>
        <w:rPr>
          <w:b/>
        </w:rPr>
        <w:t>特殊事件提醒</w:t>
      </w:r>
      <w:r>
        <w:t>：下周无特殊节假日或大型学术活动，但需关注流感季叠加因素，建议加强患者及医护人员呼吸道防护，备齐抗病毒药物，并落实病房通风消毒制度。</w:t>
      </w:r>
    </w:p>
    <w:p/>
    <w:p>
      <w:pPr>
        <w:pStyle w:val="Heading1"/>
      </w:pPr>
      <w:r>
        <w:t>附录</w:t>
      </w:r>
    </w:p>
    <w:p>
      <w:r>
        <w:t>报告说明：本简报数据来源于医院信息系统（HIS）、实验室信息系统（LIS）、影像归档系统（PACS）及电子病历系统（EMR），数据统计截止至每周日24:00。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