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AI 质检与自评审报告</w:t>
      </w:r>
    </w:p>
    <w:p>
      <w:pPr>
        <w:jc w:val="center"/>
      </w:pPr>
      <w:r>
        <w:rPr>
          <w:rFonts w:ascii="Times New Roman" w:hAnsi="Times New Roman" w:eastAsia="宋体"/>
          <w:b w:val="0"/>
          <w:sz w:val="20"/>
        </w:rPr>
        <w:t>对应论文：基于就诊聚类与关联规则的多次入院患者住院轨迹分群及诊断演化模式研究</w:t>
      </w:r>
    </w:p>
    <w:p>
      <w:pPr>
        <w:jc w:val="center"/>
      </w:pPr>
      <w:r>
        <w:rPr>
          <w:rFonts w:ascii="Times New Roman" w:hAnsi="Times New Roman" w:eastAsia="宋体"/>
          <w:b w:val="0"/>
          <w:sz w:val="18"/>
        </w:rPr>
        <w:t>生成时间：2026-09-01 18:06（AI 生成，仅供人工核对参考）</w:t>
      </w:r>
    </w:p>
    <w:p>
      <w:pPr>
        <w:spacing w:line="360" w:lineRule="auto"/>
      </w:pPr>
      <w:r>
        <w:rPr>
          <w:rFonts w:ascii="Times New Roman" w:hAnsi="Times New Roman" w:eastAsia="黑体"/>
          <w:b/>
          <w:sz w:val="24"/>
        </w:rPr>
        <w:t>一、数字一致性校验：未发现正文数字与分析结果明显不符（自动比对，仅供参考）。</w:t>
      </w:r>
    </w:p>
    <w:p>
      <w:pPr>
        <w:spacing w:line="360" w:lineRule="auto"/>
      </w:pPr>
      <w:r>
        <w:rPr>
          <w:rFonts w:ascii="Times New Roman" w:hAnsi="Times New Roman" w:eastAsia="黑体"/>
          <w:b/>
          <w:sz w:val="24"/>
        </w:rPr>
        <w:t>三、结构化自评审：</w:t>
      </w:r>
    </w:p>
    <w:p>
      <w:pPr>
        <w:spacing w:line="360" w:lineRule="auto"/>
      </w:pPr>
      <w:r>
        <w:rPr>
          <w:rFonts w:ascii="Times New Roman" w:hAnsi="Times New Roman" w:eastAsia="宋体"/>
          <w:b w:val="0"/>
          <w:sz w:val="20"/>
        </w:rPr>
        <w:t>创新性：7/10——选题将聚类与关联规则联合应用于多次入院患者的就诊轨迹分群，在肿瘤血液科真实世界场景中有一定增量；但聚类仅基于住院天数与诊断特征，未纳入时序或间隔信息，“轨迹”概念体现不足；关联规则仅4条且均为已知临床常识（如肺大疱→肺气肿），发现的新颖性有限。</w:t>
      </w:r>
    </w:p>
    <w:p>
      <w:pPr>
        <w:spacing w:line="360" w:lineRule="auto"/>
      </w:pPr>
      <w:r>
        <w:rPr>
          <w:rFonts w:ascii="Times New Roman" w:hAnsi="Times New Roman" w:eastAsia="宋体"/>
          <w:b w:val="0"/>
          <w:sz w:val="20"/>
        </w:rPr>
        <w:t>方法学严谨性：5/10——纳入排除仅提及“≥3次”，未说明是否排除数据缺失或逻辑错误记录（2.2节已声明“数据未提供”）；变量定义中性别缺失且实验室指标覆盖率未报告，混杂控制缺失；组间比较采用Mann-Whitney U检验但明确“多重比较未校正”，却仍在摘要与结果中以“p&lt;0.05”宣称差异有统计学意义，推断效力不足；聚类变量未交代是否标准化，k=3的选择依据缺失。</w:t>
      </w:r>
    </w:p>
    <w:p>
      <w:pPr>
        <w:spacing w:line="360" w:lineRule="auto"/>
      </w:pPr>
      <w:r>
        <w:rPr>
          <w:rFonts w:ascii="Times New Roman" w:hAnsi="Times New Roman" w:eastAsia="宋体"/>
          <w:b w:val="0"/>
          <w:sz w:val="20"/>
        </w:rPr>
        <w:t>结果呈现：6/10——正文数字与摘要一致；表1/表2以占位标记，无法核实标注规范性；3.4节主成分分析结果未完整呈现（“单一”后截断），且该分析与研究目的关联不明确，显得突兀；再入院组与首次入院组的诊断分布差异仅提及三类诊断名称，未报告具体统计量与p值。</w:t>
      </w:r>
    </w:p>
    <w:p>
      <w:pPr>
        <w:spacing w:line="360" w:lineRule="auto"/>
      </w:pPr>
      <w:r>
        <w:rPr>
          <w:rFonts w:ascii="Times New Roman" w:hAnsi="Times New Roman" w:eastAsia="宋体"/>
          <w:b w:val="0"/>
          <w:sz w:val="20"/>
        </w:rPr>
        <w:t>写作质量：6/10——IMRaD结构完整，但逻辑衔接存在断裂：文献综述独立成章且与前言部分重叠，未紧密服务于研究问题；讨论中机制解释较浅，“群0住院天数最长”归因于“肿瘤与心血管共病综合管理需求”缺乏数据支撑；局限性仅在方法部分提及数据缺失，未在讨论中系统阐述回顾性偏倚、单中心外推性、聚类与关联规则的方法学局限等具体问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