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基于疾病共现网络与分类预测的肺恶性肿瘤住院患者再入院风险因素分析</w:t>
      </w:r>
    </w:p>
    <w:p>
      <w:pPr>
        <w:jc w:val="center"/>
      </w:pPr>
      <w:r>
        <w:rPr>
          <w:rFonts w:ascii="Times New Roman" w:hAnsi="Times New Roman" w:eastAsia="宋体"/>
          <w:b w:val="0"/>
          <w:sz w:val="18"/>
        </w:rPr>
        <w:t>生成时间：2026-09-02 12:10（AI 辅助起草，需人工审校）</w:t>
      </w:r>
    </w:p>
    <w:p>
      <w:r>
        <w:rPr>
          <w:rFonts w:ascii="Times New Roman" w:hAnsi="Times New Roman" w:eastAsia="黑体"/>
          <w:b/>
          <w:sz w:val="28"/>
        </w:rPr>
        <w:t>摘要</w:t>
      </w:r>
    </w:p>
    <w:p>
      <w:pPr>
        <w:spacing w:line="360" w:lineRule="auto"/>
        <w:ind w:firstLine="480"/>
      </w:pPr>
      <w:r>
        <w:rPr>
          <w:rFonts w:ascii="Times New Roman" w:hAnsi="Times New Roman" w:eastAsia="宋体"/>
          <w:b/>
          <w:sz w:val="24"/>
        </w:rPr>
        <w:t>背景</w:t>
      </w:r>
      <w:r>
        <w:rPr>
          <w:rFonts w:ascii="Times New Roman" w:hAnsi="Times New Roman" w:eastAsia="宋体"/>
          <w:b w:val="0"/>
          <w:sz w:val="24"/>
        </w:rPr>
        <w:t xml:space="preserve"> 肺恶性肿瘤患者常合并多种基础疾病，多病共存状态与再入院风险的关系尚缺乏系统性研究。再入院是肿瘤全程管理中的重要临床事件，识别与再入院相关的共病特征有助于优化住院患者风险分层与随访策略。</w:t>
      </w:r>
    </w:p>
    <w:p>
      <w:pPr>
        <w:spacing w:line="360" w:lineRule="auto"/>
        <w:ind w:firstLine="480"/>
      </w:pPr>
      <w:r>
        <w:rPr>
          <w:rFonts w:ascii="Times New Roman" w:hAnsi="Times New Roman" w:eastAsia="宋体"/>
          <w:b/>
          <w:sz w:val="24"/>
        </w:rPr>
        <w:t>方法</w:t>
      </w:r>
      <w:r>
        <w:rPr>
          <w:rFonts w:ascii="Times New Roman" w:hAnsi="Times New Roman" w:eastAsia="宋体"/>
          <w:b w:val="0"/>
          <w:sz w:val="24"/>
        </w:rPr>
        <w:t xml:space="preserve"> 基于某县级医院肿瘤血液科真实世界回顾性数据，纳入3 990例肺恶性肿瘤住院患者共13 743次就诊记录（再入院阳性率84.1%）。构建疾病共现网络描述多病共存结构，采用Logistic回归与随机森林训练再入院二分类预测模型，以Accuracy和AUC评估模型效能，基于随机森林Gini重要性识别预测特征。需说明：本研究为回顾性关联分析，特征重要性不代表因果关系；再入院定义未限定时间窗，阳性率高可能包含计划内化疗入院；以就诊记录为分析单位，同一患者多次就诊的聚类效应未处理；训练集与测试集划分方式、交叉验证策略、超参数调优细节及软件版本因原始分析记录未留存而数据不可得。</w:t>
      </w:r>
    </w:p>
    <w:p>
      <w:pPr>
        <w:spacing w:line="360" w:lineRule="auto"/>
        <w:ind w:firstLine="480"/>
      </w:pPr>
      <w:r>
        <w:rPr>
          <w:rFonts w:ascii="Times New Roman" w:hAnsi="Times New Roman" w:eastAsia="宋体"/>
          <w:b/>
          <w:sz w:val="24"/>
        </w:rPr>
        <w:t>结果</w:t>
      </w:r>
      <w:r>
        <w:rPr>
          <w:rFonts w:ascii="Times New Roman" w:hAnsi="Times New Roman" w:eastAsia="宋体"/>
          <w:b w:val="0"/>
          <w:sz w:val="24"/>
        </w:rPr>
        <w:t xml:space="preserve"> 共现网络包含24种疾病节点、50条共现边，最强共现组合为冠状动脉粥样硬化性心脏病—高血压（1 184次），冠状动脉粥样硬化性心脏病—肺部感染（827次）、肺恶性肿瘤—肺部感染（625次）亦居共现频次前列。Logistic回归Accuracy=0.841、AUC=0.686；随机森林Accuracy=0.835、AUC=0.702。年龄为最重要预测特征（重要性0.258），冠心病、高血压、肺部感染等共病诊断亦进入重要特征前列。需指出：本研究未计算网络模块度、中心性等拓扑指标，未对共病聚集结构进行定量聚类验证，上述共现频次结果仅反映描述性关联。</w:t>
      </w:r>
    </w:p>
    <w:p>
      <w:pPr>
        <w:spacing w:line="360" w:lineRule="auto"/>
        <w:ind w:firstLine="480"/>
      </w:pPr>
      <w:r>
        <w:rPr>
          <w:rFonts w:ascii="Times New Roman" w:hAnsi="Times New Roman" w:eastAsia="宋体"/>
          <w:b/>
          <w:sz w:val="24"/>
        </w:rPr>
        <w:t>结论</w:t>
      </w:r>
      <w:r>
        <w:rPr>
          <w:rFonts w:ascii="Times New Roman" w:hAnsi="Times New Roman" w:eastAsia="宋体"/>
          <w:b w:val="0"/>
          <w:sz w:val="24"/>
        </w:rPr>
        <w:t xml:space="preserve"> 肺恶性肿瘤住院患者共病网络中，心血管代谢类疾病之间及与肺部感染的共现频次较高，呼吸系统疾病亦呈现聚集趋势，但该结构为描述性发现，尚缺乏定量网络聚类依据。年龄及心血管、感染类共病对再入院风险具有预测价值，但模型判别能力中等，提示再入院受多因素共同影响。本研究为单中心回顾性关联分析，存在再入院定义时间窗缺失、无性别字段、检验覆盖率约两成、残余混杂等局限，特征重要性不代表因果关系，结论外推需谨慎。</w:t>
      </w:r>
    </w:p>
    <w:p>
      <w:pPr>
        <w:spacing w:line="360" w:lineRule="auto"/>
        <w:ind w:firstLine="480"/>
      </w:pPr>
      <w:r>
        <w:rPr>
          <w:rFonts w:ascii="Times New Roman" w:hAnsi="Times New Roman" w:eastAsia="宋体"/>
          <w:b/>
          <w:sz w:val="24"/>
        </w:rPr>
        <w:t>关键词</w:t>
      </w:r>
      <w:r>
        <w:rPr>
          <w:rFonts w:ascii="Times New Roman" w:hAnsi="Times New Roman" w:eastAsia="宋体"/>
          <w:b w:val="0"/>
          <w:sz w:val="24"/>
        </w:rPr>
        <w:t xml:space="preserve"> 肺恶性肿瘤；疾病共现网络；再入院；真实世界研究；随机森林</w:t>
      </w:r>
    </w:p>
    <w:p>
      <w:r>
        <w:rPr>
          <w:rFonts w:ascii="Times New Roman" w:hAnsi="Times New Roman" w:eastAsia="黑体"/>
          <w:b/>
          <w:sz w:val="28"/>
        </w:rPr>
        <w:t>前言</w:t>
      </w:r>
    </w:p>
    <w:p>
      <w:pPr>
        <w:spacing w:line="360" w:lineRule="auto"/>
      </w:pPr>
      <w:r>
        <w:rPr>
          <w:rFonts w:ascii="Times New Roman" w:hAnsi="Times New Roman" w:eastAsia="宋体"/>
          <w:b/>
          <w:sz w:val="24"/>
        </w:rPr>
        <w:t>1 引言</w:t>
      </w:r>
    </w:p>
    <w:p>
      <w:pPr>
        <w:spacing w:line="360" w:lineRule="auto"/>
      </w:pPr>
      <w:r>
        <w:rPr>
          <w:rFonts w:ascii="Times New Roman" w:hAnsi="Times New Roman" w:eastAsia="宋体"/>
          <w:b/>
          <w:sz w:val="24"/>
        </w:rPr>
        <w:t>1.1 研究背景</w:t>
      </w:r>
    </w:p>
    <w:p>
      <w:pPr>
        <w:spacing w:line="360" w:lineRule="auto"/>
        <w:ind w:firstLine="480"/>
      </w:pPr>
      <w:r>
        <w:rPr>
          <w:rFonts w:ascii="Times New Roman" w:hAnsi="Times New Roman" w:eastAsia="宋体"/>
          <w:b w:val="0"/>
          <w:sz w:val="24"/>
        </w:rPr>
        <w:t>肺恶性肿瘤是我国发病率和死亡率均居前列的恶性肿瘤，其住院诊疗负担沉重。随着诊疗技术的进步与患者生存期的延长，肺恶性肿瘤患者往往并非以单一疾病状态存在，而是常合并心血管疾病、糖尿病、慢性呼吸系统疾病等多种基础疾病[2]。多病共存（multimorbidity）状态可能通过影响治疗耐受性、并发症发生风险及功能状态等途径，改变患者的疾病轨迹与医疗资源利用模式[4,13]。再入院是肿瘤患者全程管理中的关键临床事件，既反映治疗连续性与并发症管理的质量，也与医疗成本及患者预后密切相关[5,7]。在此背景下，系统刻画肺恶性肿瘤住院患者的共病结构，并探索其与再入院风险的关联，具有重要的临床与管理意义。</w:t>
      </w:r>
    </w:p>
    <w:p>
      <w:pPr>
        <w:spacing w:line="360" w:lineRule="auto"/>
        <w:ind w:firstLine="480"/>
      </w:pPr>
      <w:r>
        <w:rPr>
          <w:rFonts w:ascii="Times New Roman" w:hAnsi="Times New Roman" w:eastAsia="宋体"/>
          <w:b w:val="0"/>
          <w:sz w:val="24"/>
        </w:rPr>
        <w:t>真实世界数据（real-world data, RWD）来源于日常临床实践中所产生的诊疗记录，能够反映真实临床环境中患者群体的疾病谱与治疗模式，为探索复杂共病模式及其临床结局关联提供了传统临床试验难以替代的研究途径[2]。基于真实世界数据的回顾性分析，可在较大样本中同时考察多病共存的结构性规律与再入院风险的预测因素。</w:t>
      </w:r>
    </w:p>
    <w:p>
      <w:pPr>
        <w:spacing w:line="360" w:lineRule="auto"/>
      </w:pPr>
      <w:r>
        <w:rPr>
          <w:rFonts w:ascii="Times New Roman" w:hAnsi="Times New Roman" w:eastAsia="宋体"/>
          <w:b/>
          <w:sz w:val="24"/>
        </w:rPr>
        <w:t>1.2 研究现状与缺口</w:t>
      </w:r>
    </w:p>
    <w:p>
      <w:pPr>
        <w:spacing w:line="360" w:lineRule="auto"/>
        <w:ind w:firstLine="480"/>
      </w:pPr>
      <w:r>
        <w:rPr>
          <w:rFonts w:ascii="Times New Roman" w:hAnsi="Times New Roman" w:eastAsia="宋体"/>
          <w:b w:val="0"/>
          <w:sz w:val="24"/>
        </w:rPr>
        <w:t>既往关于共病与肿瘤患者预后的研究，多采用Charlson合并症指数等单一汇总指标衡量共病负担，此类方法虽便于统计建模，但难以揭示具体疾病之间的共现结构及其潜在的临床意义[2,9]。已有研究表明，共病是肺癌患者不良预后的重要预测因素，且特定共病组合对再入院风险的影响可能存在差异[2,7]。在再入院预测方面，机器学习方法已在多种外科及肿瘤人群中得到应用[3,8]，但针对肺恶性肿瘤内科住院人群的系统性研究仍相对有限[5,11]，且多数模型仅报告预测性能，缺乏与疾病共现结构的整合分析。</w:t>
      </w:r>
    </w:p>
    <w:p>
      <w:pPr>
        <w:spacing w:line="360" w:lineRule="auto"/>
        <w:ind w:firstLine="480"/>
      </w:pPr>
      <w:r>
        <w:rPr>
          <w:rFonts w:ascii="Times New Roman" w:hAnsi="Times New Roman" w:eastAsia="宋体"/>
          <w:b w:val="0"/>
          <w:sz w:val="24"/>
        </w:rPr>
        <w:t>疾病共现网络可从系统层面揭示多病共存的结构性规律——以疾病为节点、以共现关系为边，识别高频共病组合与网络核心疾病；分类预测模型则从特征贡献的角度回答“哪些因素对再入院判别更为重要”[3,8]。两种方法在分析层次上互为补充：前者刻画共病的“结构”，后者量化特征的“权重”。需要指出的是，本研究中的网络分析与预测建模为两个相对独立的分析步骤，网络指标尚未作为预测变量纳入模型，二者的整合目前主要体现在结果解读层面的相互印证，而非统计层面的深度融合。这一局限将在本文讨论部分进一步说明。</w:t>
      </w:r>
    </w:p>
    <w:p>
      <w:pPr>
        <w:spacing w:line="360" w:lineRule="auto"/>
      </w:pPr>
      <w:r>
        <w:rPr>
          <w:rFonts w:ascii="Times New Roman" w:hAnsi="Times New Roman" w:eastAsia="宋体"/>
          <w:b/>
          <w:sz w:val="24"/>
        </w:rPr>
        <w:t>1.3 研究目的</w:t>
      </w:r>
    </w:p>
    <w:p>
      <w:pPr>
        <w:spacing w:line="360" w:lineRule="auto"/>
        <w:ind w:firstLine="480"/>
      </w:pPr>
      <w:r>
        <w:rPr>
          <w:rFonts w:ascii="Times New Roman" w:hAnsi="Times New Roman" w:eastAsia="宋体"/>
          <w:b w:val="0"/>
          <w:sz w:val="24"/>
        </w:rPr>
        <w:t>本研究基于某县级医院肿瘤血液科真实世界回顾性数据，旨在：①构建肺恶性肿瘤住院患者的疾病共现网络，描述其结构特征与高频共病组合；②训练再入院分类预测模型，评估其预测效能并识别重要预测特征；③在结果解读层面整合网络分析与预测建模的发现，探讨共病特征与再入院风险的关联，为临床共病管理与再入院风险分层提供数据支持。</w:t>
      </w:r>
    </w:p>
    <w:p>
      <w:pPr>
        <w:spacing w:line="360" w:lineRule="auto"/>
      </w:pPr>
      <w:r>
        <w:rPr>
          <w:rFonts w:ascii="Times New Roman" w:hAnsi="Times New Roman" w:eastAsia="宋体"/>
          <w:b/>
          <w:sz w:val="24"/>
        </w:rPr>
        <w:t>1.4 研究性质声明</w:t>
      </w:r>
    </w:p>
    <w:p>
      <w:pPr>
        <w:spacing w:line="360" w:lineRule="auto"/>
        <w:ind w:firstLine="480"/>
      </w:pPr>
      <w:r>
        <w:rPr>
          <w:rFonts w:ascii="Times New Roman" w:hAnsi="Times New Roman" w:eastAsia="宋体"/>
          <w:b w:val="0"/>
          <w:sz w:val="24"/>
        </w:rPr>
        <w:t>本研究为单中心、回顾性、真实世界观察性研究。所有研究结果均为关联性发现，仅用于描述与探索性推断，不推断因果关系。此外，本研究存在若干方法学限制，包括：再入院结局未限定明确的时间窗（30天/90天/任意时间），阳性率高达84.1%，提示目标事件可能包含计划内化疗入院，而非严格意义上的非计划再入院；数据来源于单一县级医院，外部推广性有限；原始分析未留存训练集与测试集划分方式、交叉验证策略及超参数调优细节，模型评估结果的可验证性与可复现性受限；数据未收集患者性别字段，检验类指标覆盖率约两成，且未对疾病分期、治疗线数等潜在混杂因素进行校正。上述限制的具体影响将在讨论部分逐一阐述。</w:t>
      </w:r>
    </w:p>
    <w:p>
      <w:r>
        <w:rPr>
          <w:rFonts w:ascii="Times New Roman" w:hAnsi="Times New Roman" w:eastAsia="黑体"/>
          <w:b/>
          <w:sz w:val="28"/>
        </w:rPr>
        <w:t>文献综述</w:t>
      </w:r>
    </w:p>
    <w:p>
      <w:pPr>
        <w:spacing w:line="360" w:lineRule="auto"/>
        <w:ind w:firstLine="480"/>
      </w:pPr>
      <w:r>
        <w:rPr>
          <w:rFonts w:ascii="Times New Roman" w:hAnsi="Times New Roman" w:eastAsia="宋体"/>
          <w:b w:val="0"/>
          <w:sz w:val="24"/>
        </w:rPr>
        <w:t>肺恶性肿瘤患者常合并多种基础疾病，多病共存状态与再入院风险的关系已成为肿瘤全程管理研究的重要议题。BMC Cancer发表的一项基于中国城市医疗数据的多中心研究明确指出，共病是肺癌患者不良预后的重要预测因素之一，该研究系统分析了中国肺癌患者主要共病的患病率及其与再入院和死亡风险的关联，为理解共病负担在肿瘤人群中的临床意义提供了直接证据[2]。在胸外科手术人群中，共病对术后再入院的影响亦受到广泛关注。Cirugia Espanola的一项系统综述聚焦肺切除术后非计划再入院，系统梳理了术前及围手术期再入院的决定因素，强调共病状态在术后恢复轨迹中的关键作用[5]；类似地，The Journal of Thoracic and Cardiovascular Surgery的研究基于美国国家癌症数据库分析了非小细胞肺癌术后早期非计划再入院的发生率、预测因素及其临床意义，发现再入院并非良性事件，而与更差的远期预后相关[11]。European Journal of Cardio-Thoracic Surgery的一项基于人群的研究则进一步探讨了非小细胞肺癌术后住院时长与急诊再入院的趋势及预测因素，提示住院时长与再入院风险之间存在复杂关联[12]。上述研究多聚焦于手术人群，以单一共病指标（如合并症指数）或个别共病病种作为预测变量，较少从系统层面刻画多病共存的结构性规律。</w:t>
      </w:r>
    </w:p>
    <w:p>
      <w:pPr>
        <w:spacing w:line="360" w:lineRule="auto"/>
        <w:ind w:firstLine="480"/>
      </w:pPr>
      <w:r>
        <w:rPr>
          <w:rFonts w:ascii="Times New Roman" w:hAnsi="Times New Roman" w:eastAsia="宋体"/>
          <w:b w:val="0"/>
          <w:sz w:val="24"/>
        </w:rPr>
        <w:t>在非手术及晚期肺癌人群中，再入院风险因素的研究亦有所积累。Medical Care上发表的一项针对住院确诊晚期肺癌患者的研究，考察了出院后急诊就诊与再入院的模式及风险因素，指出住院期间可能是优化照护衔接、减少后续急性医疗利用的重要窗口[7]。这一发现与本研究关注的肺恶性肿瘤住院患者群体高度相关。此外，在更广泛的肿瘤外科人群中，再入院的地点差异（原医院与非原医院）[8]、术后静脉血栓栓塞事件导致的再入院[6]以及手术方式对资源利用和预后的影响[3]等议题也受到关注，提示再入院风险受多维度因素共同调控。在老年及衰弱人群中，衰弱（frailty）被证实是预测不良临床结局（包括再入院和死亡）的重要指标，且在不同疾病人群中具有跨病种的一致性[13]。共病负担对过渡期照护效果的影响亦在心血管疾病人群中被证实——The American Journal of Medicine的研究显示，不同基线共病负担的心脏病患者从过渡期照护干预中获益并不均等[9]，提示共病分层对资源配置具有指导意义。在骨科手术人群中，Injury发表的前瞻性研究也证实了共病对髋部骨折术后6个月再入院及死亡的预测价值[4]。上述证据共同表明，共病是跨疾病领域再入院风险的重要决定因素，但其具体作用模式因疾病类型和人群特征而异。</w:t>
      </w:r>
    </w:p>
    <w:p>
      <w:pPr>
        <w:spacing w:line="360" w:lineRule="auto"/>
        <w:ind w:firstLine="480"/>
      </w:pPr>
      <w:r>
        <w:rPr>
          <w:rFonts w:ascii="Times New Roman" w:hAnsi="Times New Roman" w:eastAsia="宋体"/>
          <w:b w:val="0"/>
          <w:sz w:val="24"/>
        </w:rPr>
        <w:t>在方法学层面，机器学习方法在再入院预测中的应用日益增多。COVID-19患者再入院风险因素的系统综述与荟萃分析显示，基于常规临床变量的预测模型在再入院判别中具有一定的应用价值，但模型性能普遍处于中等水平[14]。在妇科肿瘤机器人手术人群中，研究发现部分患者可安全实现同日出院，但再入院风险的预测仍需多因素综合评估[15]。在结直肠癌领域，JAMA Surgery发表的前瞻性研究探讨了多模式预康复对术后并发症的影响，尽管其结果尚存不确定性，但反映出围手术期多因素干预对改善肿瘤手术预后的探索方向[1]。JAMA Network Open关于肺叶切除术式比较的研究则展示了利用真实世界数据评估资源利用与患者结局的研究范式[3]；Clinical Lung Cancer的研究利用全国代表性样本分析了肺切除术后切缘阳性的相关因素[10]；JAMA Surgery的另一项研究则考察了复杂癌症手术后静脉血栓栓塞相关再入院问题[6]。上述研究在方法上多采用传统回归或单一机器学习模型，较少将网络分析与预测建模相结合。</w:t>
      </w:r>
    </w:p>
    <w:p>
      <w:pPr>
        <w:spacing w:line="360" w:lineRule="auto"/>
        <w:ind w:firstLine="480"/>
      </w:pPr>
      <w:r>
        <w:rPr>
          <w:rFonts w:ascii="Times New Roman" w:hAnsi="Times New Roman" w:eastAsia="宋体"/>
          <w:b w:val="0"/>
          <w:sz w:val="24"/>
        </w:rPr>
        <w:t>综合来看，现有研究存在以下不足：其一，多数研究以单一共病指标或少数共病病种为切入点，缺乏对疾病间共现结构的系统性描述，难以揭示多病共存的内在聚集规律；其二，预测模型多基于手术人群或特定治疗路径，对以内科综合治疗为主的肺恶性肿瘤住院患者群体的适用性有限；其三，共现网络分析与分类预测建模的整合较少，难以同时回答“哪些疾病倾向共存”与“哪些特征对再入院判别贡献更大”这两个互补性问题。基于此，本研究利用某县级医院肿瘤血液科真实世界回顾性数据，通过构建疾病共现网络并结合分类预测模型，系统探索肺恶性肿瘤住院患者的共病结构及其与再入院风险的关联，以期从结构与权重两个维度为临床共病管理与再入院风险分层提供数据支持，弥补上述研究缺口。</w:t>
      </w:r>
    </w:p>
    <w:p>
      <w:pPr>
        <w:spacing w:line="360" w:lineRule="auto"/>
        <w:ind w:firstLine="480"/>
      </w:pPr>
      <w:r>
        <w:rPr>
          <w:rFonts w:ascii="Times New Roman" w:hAnsi="Times New Roman" w:eastAsia="宋体"/>
          <w:b w:val="0"/>
          <w:sz w:val="24"/>
        </w:rPr>
        <w:t>需要指出的是，本研究所依托的真实世界数据来源于单中心回顾性记录，在数据维度上存在若干固有局限：数据集中未包含患者性别字段，亦未采集肿瘤分期、治疗线数等关键临床变量；实验室检验项目的覆盖率约为两成，可能影响对部分共病状态的完整识别。上述数据限制意味着，本研究的网络分析仅能基于可获得的诊断记录刻画共现频次层面的关联，而无法对疾病之间的时序关系或潜在因果路径做出推断；预测模型的特征重要性亦仅反映统计关联强度，不能解释为临床因果效应。此外，本研究中再入院结局的定义未限定明确的时间窗（如30天或90天），阳性事件可能包含计划内化疗入院，这一效度威胁将在讨论部分进一步阐述。</w:t>
      </w:r>
    </w:p>
    <w:p>
      <w:r>
        <w:rPr>
          <w:rFonts w:ascii="Times New Roman" w:hAnsi="Times New Roman" w:eastAsia="黑体"/>
          <w:b/>
          <w:sz w:val="28"/>
        </w:rPr>
        <w:t>资料与方法</w:t>
      </w:r>
    </w:p>
    <w:p>
      <w:pPr>
        <w:spacing w:line="360" w:lineRule="auto"/>
      </w:pPr>
      <w:r>
        <w:rPr>
          <w:rFonts w:ascii="Times New Roman" w:hAnsi="Times New Roman" w:eastAsia="宋体"/>
          <w:b/>
          <w:sz w:val="24"/>
        </w:rPr>
        <w:t>2 资料与方法</w:t>
      </w:r>
    </w:p>
    <w:p>
      <w:pPr>
        <w:spacing w:line="360" w:lineRule="auto"/>
      </w:pPr>
      <w:r>
        <w:rPr>
          <w:rFonts w:ascii="Times New Roman" w:hAnsi="Times New Roman" w:eastAsia="宋体"/>
          <w:b/>
          <w:sz w:val="24"/>
        </w:rPr>
        <w:t>2.1 数据来源与研究设计</w:t>
      </w:r>
    </w:p>
    <w:p>
      <w:pPr>
        <w:spacing w:line="360" w:lineRule="auto"/>
        <w:ind w:firstLine="480"/>
      </w:pPr>
      <w:r>
        <w:rPr>
          <w:rFonts w:ascii="Times New Roman" w:hAnsi="Times New Roman" w:eastAsia="宋体"/>
          <w:b w:val="0"/>
          <w:sz w:val="24"/>
        </w:rPr>
        <w:t>本研究为单中心、回顾性、真实世界观察性研究。数据来源于某县级医院肿瘤血液科的住院诊疗记录，涵盖诊断、医嘱、检验及检查等多维度信息。研究纳入肺恶性肿瘤住院患者共3 990名，对应13 743次就诊记录作为建模样本。数据中未包含患者性别字段，检验项目覆盖率有限（约两成），上述数据特征在结果解读时需予以考虑。</w:t>
      </w:r>
    </w:p>
    <w:p>
      <w:pPr>
        <w:spacing w:line="360" w:lineRule="auto"/>
      </w:pPr>
      <w:r>
        <w:rPr>
          <w:rFonts w:ascii="Times New Roman" w:hAnsi="Times New Roman" w:eastAsia="宋体"/>
          <w:b/>
          <w:sz w:val="24"/>
        </w:rPr>
        <w:t>2.2 研究人群与样本定义</w:t>
      </w:r>
    </w:p>
    <w:p>
      <w:pPr>
        <w:spacing w:line="360" w:lineRule="auto"/>
        <w:ind w:firstLine="480"/>
      </w:pPr>
      <w:r>
        <w:rPr>
          <w:rFonts w:ascii="Times New Roman" w:hAnsi="Times New Roman" w:eastAsia="宋体"/>
          <w:b w:val="0"/>
          <w:sz w:val="24"/>
        </w:rPr>
        <w:t xml:space="preserve">- </w:t>
      </w:r>
      <w:r>
        <w:rPr>
          <w:rFonts w:ascii="Times New Roman" w:hAnsi="Times New Roman" w:eastAsia="宋体"/>
          <w:b/>
          <w:sz w:val="24"/>
        </w:rPr>
        <w:t>纳入标准</w:t>
      </w:r>
      <w:r>
        <w:rPr>
          <w:rFonts w:ascii="Times New Roman" w:hAnsi="Times New Roman" w:eastAsia="宋体"/>
          <w:b w:val="0"/>
          <w:sz w:val="24"/>
        </w:rPr>
        <w:t>：住院期间任一诊断包含肺恶性肿瘤的就诊记录。</w:t>
      </w:r>
    </w:p>
    <w:p>
      <w:pPr>
        <w:spacing w:line="360" w:lineRule="auto"/>
        <w:ind w:firstLine="480"/>
      </w:pPr>
      <w:r>
        <w:rPr>
          <w:rFonts w:ascii="Times New Roman" w:hAnsi="Times New Roman" w:eastAsia="宋体"/>
          <w:b w:val="0"/>
          <w:sz w:val="24"/>
        </w:rPr>
        <w:t xml:space="preserve">- </w:t>
      </w:r>
      <w:r>
        <w:rPr>
          <w:rFonts w:ascii="Times New Roman" w:hAnsi="Times New Roman" w:eastAsia="宋体"/>
          <w:b/>
          <w:sz w:val="24"/>
        </w:rPr>
        <w:t>建模样本</w:t>
      </w:r>
      <w:r>
        <w:rPr>
          <w:rFonts w:ascii="Times New Roman" w:hAnsi="Times New Roman" w:eastAsia="宋体"/>
          <w:b w:val="0"/>
          <w:sz w:val="24"/>
        </w:rPr>
        <w:t>：13 743次就诊记录。</w:t>
      </w:r>
    </w:p>
    <w:p>
      <w:pPr>
        <w:spacing w:line="360" w:lineRule="auto"/>
        <w:ind w:firstLine="480"/>
      </w:pPr>
      <w:r>
        <w:rPr>
          <w:rFonts w:ascii="Times New Roman" w:hAnsi="Times New Roman" w:eastAsia="宋体"/>
          <w:b w:val="0"/>
          <w:sz w:val="24"/>
        </w:rPr>
        <w:t xml:space="preserve">- </w:t>
      </w:r>
      <w:r>
        <w:rPr>
          <w:rFonts w:ascii="Times New Roman" w:hAnsi="Times New Roman" w:eastAsia="宋体"/>
          <w:b/>
          <w:sz w:val="24"/>
        </w:rPr>
        <w:t>目标变量</w:t>
      </w:r>
      <w:r>
        <w:rPr>
          <w:rFonts w:ascii="Times New Roman" w:hAnsi="Times New Roman" w:eastAsia="宋体"/>
          <w:b w:val="0"/>
          <w:sz w:val="24"/>
        </w:rPr>
        <w:t>：再入院（`is_readmission`），定义为该患者后续再次入院就诊，阳性率为84.1%。需说明的是，本研究数据未记录再入院的具体时间窗（如30天、90天或任意时间），亦未区分计划内入院（如周期性化疗）与非计划再入院，因此该目标变量为广义的"后续再次入院"，其临床含义需结合84.1%的高阳性率审慎解读。</w:t>
      </w:r>
    </w:p>
    <w:p>
      <w:pPr>
        <w:spacing w:line="360" w:lineRule="auto"/>
        <w:ind w:firstLine="480"/>
      </w:pPr>
      <w:r>
        <w:rPr>
          <w:rFonts w:ascii="Times New Roman" w:hAnsi="Times New Roman" w:eastAsia="宋体"/>
          <w:b w:val="0"/>
          <w:sz w:val="24"/>
        </w:rPr>
        <w:t xml:space="preserve">- </w:t>
      </w:r>
      <w:r>
        <w:rPr>
          <w:rFonts w:ascii="Times New Roman" w:hAnsi="Times New Roman" w:eastAsia="宋体"/>
          <w:b/>
          <w:sz w:val="24"/>
        </w:rPr>
        <w:t>特征变量</w:t>
      </w:r>
      <w:r>
        <w:rPr>
          <w:rFonts w:ascii="Times New Roman" w:hAnsi="Times New Roman" w:eastAsia="宋体"/>
          <w:b w:val="0"/>
          <w:sz w:val="24"/>
        </w:rPr>
        <w:t>：共62个特征，包括年龄（`age_years`）、诊断类变量（如冠状动脉粥样硬化性心脏病、高血压、肺部感染等）、用药类变量（如地塞米松注射液、甲氧氯普胺注射液、参芪扶正注射液等）及检验类变量（如葡萄糖测定等）。各特征的缺失率及缺失数据处理方法因原始分析记录未留存，数据不可得，故未予报告。</w:t>
      </w:r>
    </w:p>
    <w:p>
      <w:pPr>
        <w:spacing w:line="360" w:lineRule="auto"/>
        <w:ind w:firstLine="480"/>
      </w:pPr>
      <w:r>
        <w:rPr>
          <w:rFonts w:ascii="Times New Roman" w:hAnsi="Times New Roman" w:eastAsia="宋体"/>
          <w:b w:val="0"/>
          <w:sz w:val="24"/>
        </w:rPr>
        <w:t xml:space="preserve">- </w:t>
      </w:r>
      <w:r>
        <w:rPr>
          <w:rFonts w:ascii="Times New Roman" w:hAnsi="Times New Roman" w:eastAsia="宋体"/>
          <w:b/>
          <w:sz w:val="24"/>
        </w:rPr>
        <w:t>分析单位说明</w:t>
      </w:r>
      <w:r>
        <w:rPr>
          <w:rFonts w:ascii="Times New Roman" w:hAnsi="Times New Roman" w:eastAsia="宋体"/>
          <w:b w:val="0"/>
          <w:sz w:val="24"/>
        </w:rPr>
        <w:t>：本研究以就诊记录而非患者个体为分析单位，同一患者多次就诊构成潜在的聚类数据。原始分析未对患者内相关性进行校正（如广义估计方程或多水平模型），亦未按患者进行数据分割，这一处理方式可能影响模型评估的独立性假设，相关结果应视为探索性发现。</w:t>
      </w:r>
    </w:p>
    <w:p>
      <w:pPr>
        <w:spacing w:line="360" w:lineRule="auto"/>
      </w:pPr>
      <w:r>
        <w:rPr>
          <w:rFonts w:ascii="Times New Roman" w:hAnsi="Times New Roman" w:eastAsia="宋体"/>
          <w:b/>
          <w:sz w:val="24"/>
        </w:rPr>
        <w:t>2.3 疾病共现网络构建</w:t>
      </w:r>
    </w:p>
    <w:p>
      <w:pPr>
        <w:spacing w:line="360" w:lineRule="auto"/>
        <w:ind w:firstLine="480"/>
      </w:pPr>
      <w:r>
        <w:rPr>
          <w:rFonts w:ascii="Times New Roman" w:hAnsi="Times New Roman" w:eastAsia="宋体"/>
          <w:b w:val="0"/>
          <w:sz w:val="24"/>
        </w:rPr>
        <w:t>以诊断编码归并后的疾病种类为网络节点；若两种疾病在同一就诊记录中同时出现，则在对应节点间构建一条共现边。网络分析指标包括节点数、边数及疾病对的共现频次排序。共现频次反映两种疾病在同一住院事件中的伴随出现情况，为描述性关联指标，不代表疾病间的因果或病理生理联系。本研究仅报告共现网络的描述性拓扑特征（节点数、边数、共现频次排序），未计算模块度、中心性等网络拓扑指标，亦未将网络结构指标纳入后续预测模型，网络分析与预测模型之间未形成统计意义上的整合。</w:t>
      </w:r>
    </w:p>
    <w:p>
      <w:pPr>
        <w:spacing w:line="360" w:lineRule="auto"/>
      </w:pPr>
      <w:r>
        <w:rPr>
          <w:rFonts w:ascii="Times New Roman" w:hAnsi="Times New Roman" w:eastAsia="宋体"/>
          <w:b/>
          <w:sz w:val="24"/>
        </w:rPr>
        <w:t>2.4 分类预测模型</w:t>
      </w:r>
    </w:p>
    <w:p>
      <w:pPr>
        <w:spacing w:line="360" w:lineRule="auto"/>
        <w:ind w:firstLine="480"/>
      </w:pPr>
      <w:r>
        <w:rPr>
          <w:rFonts w:ascii="Times New Roman" w:hAnsi="Times New Roman" w:eastAsia="宋体"/>
          <w:b w:val="0"/>
          <w:sz w:val="24"/>
        </w:rPr>
        <w:t>以再入院（`is_readmission`）为二分类目标变量，采用以下两种模型进行训练与评估：</w:t>
      </w:r>
    </w:p>
    <w:p>
      <w:pPr>
        <w:spacing w:line="360" w:lineRule="auto"/>
        <w:ind w:firstLine="480"/>
      </w:pPr>
      <w:r>
        <w:rPr>
          <w:rFonts w:ascii="Times New Roman" w:hAnsi="Times New Roman" w:eastAsia="宋体"/>
          <w:b w:val="0"/>
          <w:sz w:val="24"/>
        </w:rPr>
        <w:t xml:space="preserve">- </w:t>
      </w:r>
      <w:r>
        <w:rPr>
          <w:rFonts w:ascii="Times New Roman" w:hAnsi="Times New Roman" w:eastAsia="宋体"/>
          <w:b/>
          <w:sz w:val="24"/>
        </w:rPr>
        <w:t>模型1</w:t>
      </w:r>
      <w:r>
        <w:rPr>
          <w:rFonts w:ascii="Times New Roman" w:hAnsi="Times New Roman" w:eastAsia="宋体"/>
          <w:b w:val="0"/>
          <w:sz w:val="24"/>
        </w:rPr>
        <w:t>：Logistic回归（L2正则化）。</w:t>
      </w:r>
    </w:p>
    <w:p>
      <w:pPr>
        <w:spacing w:line="360" w:lineRule="auto"/>
        <w:ind w:firstLine="480"/>
      </w:pPr>
      <w:r>
        <w:rPr>
          <w:rFonts w:ascii="Times New Roman" w:hAnsi="Times New Roman" w:eastAsia="宋体"/>
          <w:b w:val="0"/>
          <w:sz w:val="24"/>
        </w:rPr>
        <w:t xml:space="preserve">- </w:t>
      </w:r>
      <w:r>
        <w:rPr>
          <w:rFonts w:ascii="Times New Roman" w:hAnsi="Times New Roman" w:eastAsia="宋体"/>
          <w:b/>
          <w:sz w:val="24"/>
        </w:rPr>
        <w:t>模型2</w:t>
      </w:r>
      <w:r>
        <w:rPr>
          <w:rFonts w:ascii="Times New Roman" w:hAnsi="Times New Roman" w:eastAsia="宋体"/>
          <w:b w:val="0"/>
          <w:sz w:val="24"/>
        </w:rPr>
        <w:t>：随机森林（RandomForest）。</w:t>
      </w:r>
    </w:p>
    <w:p>
      <w:pPr>
        <w:spacing w:line="360" w:lineRule="auto"/>
        <w:ind w:firstLine="480"/>
      </w:pPr>
      <w:r>
        <w:rPr>
          <w:rFonts w:ascii="Times New Roman" w:hAnsi="Times New Roman" w:eastAsia="宋体"/>
          <w:b w:val="0"/>
          <w:sz w:val="24"/>
        </w:rPr>
        <w:t>评估指标包括准确率（Accuracy）和受试者工作特征曲线下面积（AUC）。特征重要性基于随机森林的Gini重要性进行排序。训练集与测试集的划分方式、交叉验证策略及超参数调优细节因原始分析记录未留存，数据不可得，故未予报告。这一缺失限制了模型评估结果的可验证性与可复现性，读者在解读模型性能时应保持审慎。</w:t>
      </w:r>
    </w:p>
    <w:p>
      <w:pPr>
        <w:spacing w:line="360" w:lineRule="auto"/>
      </w:pPr>
      <w:r>
        <w:rPr>
          <w:rFonts w:ascii="Times New Roman" w:hAnsi="Times New Roman" w:eastAsia="宋体"/>
          <w:b/>
          <w:sz w:val="24"/>
        </w:rPr>
        <w:t>2.5 统计分析工具</w:t>
      </w:r>
    </w:p>
    <w:p>
      <w:pPr>
        <w:spacing w:line="360" w:lineRule="auto"/>
        <w:ind w:firstLine="480"/>
      </w:pPr>
      <w:r>
        <w:rPr>
          <w:rFonts w:ascii="Times New Roman" w:hAnsi="Times New Roman" w:eastAsia="宋体"/>
          <w:b w:val="0"/>
          <w:sz w:val="24"/>
        </w:rPr>
        <w:t>本研究所用统计分析与建模软件版本信息未收集，数据不可得，故未予报告。</w:t>
      </w:r>
    </w:p>
    <w:p>
      <w:pPr>
        <w:spacing w:line="360" w:lineRule="auto"/>
      </w:pPr>
      <w:r>
        <w:rPr>
          <w:rFonts w:ascii="Times New Roman" w:hAnsi="Times New Roman" w:eastAsia="宋体"/>
          <w:b/>
          <w:sz w:val="24"/>
        </w:rPr>
        <w:t>2.6 伦理声明</w:t>
      </w:r>
    </w:p>
    <w:p>
      <w:pPr>
        <w:spacing w:line="360" w:lineRule="auto"/>
        <w:ind w:firstLine="480"/>
      </w:pPr>
      <w:r>
        <w:rPr>
          <w:rFonts w:ascii="Times New Roman" w:hAnsi="Times New Roman" w:eastAsia="宋体"/>
          <w:b w:val="0"/>
          <w:sz w:val="24"/>
        </w:rPr>
        <w:t>本研究为回顾性真实世界研究，所用数据在分析前已完成匿名化处理，不涉及患者个人身份信息。伦理审批信息未收集，数据不可得，故未予报告。</w:t>
      </w:r>
    </w:p>
    <w:p>
      <w:pPr>
        <w:spacing w:line="360" w:lineRule="auto"/>
      </w:pPr>
      <w:r>
        <w:rPr>
          <w:rFonts w:ascii="Times New Roman" w:hAnsi="Times New Roman" w:eastAsia="宋体"/>
          <w:b/>
          <w:sz w:val="24"/>
        </w:rPr>
        <w:t>2.7 研究局限性</w:t>
      </w:r>
    </w:p>
    <w:p>
      <w:pPr>
        <w:spacing w:line="360" w:lineRule="auto"/>
        <w:ind w:firstLine="480"/>
      </w:pPr>
      <w:r>
        <w:rPr>
          <w:rFonts w:ascii="Times New Roman" w:hAnsi="Times New Roman" w:eastAsia="宋体"/>
          <w:b w:val="0"/>
          <w:sz w:val="24"/>
        </w:rPr>
        <w:t>本研究存在以下方法学局限，在解读结果时须予以考虑：（1）单中心回顾性设计，样本来源于一家县级医院，外推性有限；（2）目标变量未限定再入院时间窗，且84.1%的阳性率提示可能包含大量计划内入院，与非计划再入院的临床意义存在本质差异，这是影响本研究结论有效性的最根本威胁；（3）以就诊记录为分析单位，未校正同一患者多次就诊带来的聚类效应；（4）特征缺失率及处理方法未报告；（5）未针对疾病分期、治疗线数等潜在混杂因素进行校正或敏感性分析；（6）数据未包含性别字段，检验覆盖率约两成，可能引入选择偏倚；（7）模型训练与评估的关键技术细节（数据划分、交叉验证、超参数调优）数据不可得，模型结果无法独立验证。基于上述局限，本研究的全部结果应视为探索性关联发现，而非确定性结论。</w:t>
      </w:r>
    </w:p>
    <w:p>
      <w:r>
        <w:rPr>
          <w:rFonts w:ascii="Times New Roman" w:hAnsi="Times New Roman" w:eastAsia="黑体"/>
          <w:b/>
          <w:sz w:val="28"/>
        </w:rPr>
        <w:t>结果</w:t>
      </w:r>
    </w:p>
    <w:p>
      <w:pPr>
        <w:spacing w:line="360" w:lineRule="auto"/>
      </w:pPr>
      <w:r>
        <w:rPr>
          <w:rFonts w:ascii="Times New Roman" w:hAnsi="Times New Roman" w:eastAsia="宋体"/>
          <w:b/>
          <w:sz w:val="24"/>
        </w:rPr>
        <w:t>3 结果</w:t>
      </w:r>
    </w:p>
    <w:p>
      <w:pPr>
        <w:spacing w:line="360" w:lineRule="auto"/>
      </w:pPr>
      <w:r>
        <w:rPr>
          <w:rFonts w:ascii="Times New Roman" w:hAnsi="Times New Roman" w:eastAsia="宋体"/>
          <w:b/>
          <w:sz w:val="24"/>
        </w:rPr>
        <w:t>3.1 研究人群基本特征</w:t>
      </w:r>
    </w:p>
    <w:p>
      <w:pPr>
        <w:spacing w:line="360" w:lineRule="auto"/>
        <w:ind w:firstLine="480"/>
      </w:pPr>
      <w:r>
        <w:rPr>
          <w:rFonts w:ascii="Times New Roman" w:hAnsi="Times New Roman" w:eastAsia="宋体"/>
          <w:b w:val="0"/>
          <w:sz w:val="24"/>
        </w:rPr>
        <w:t>本研究共纳入肺恶性肿瘤住院患者3 990名，对应13 743次就诊记录作为建模样本。以再入院（`is_readmission`）为目标变量，阳性率为84.1%。需说明的是，本数据集中再入院的定义未限定时间窗（即未区分30天、90天或任意时间内的再入院），且阳性率偏高，提示该变量可能包含计划内化疗入院等非紧急再入院情形，而非仅指非计划再入院。数据中未包含患者性别字段，故无法进行性别分层分析。</w:t>
      </w:r>
    </w:p>
    <w:p>
      <w:pPr>
        <w:spacing w:line="360" w:lineRule="auto"/>
      </w:pPr>
      <w:r>
        <w:rPr>
          <w:rFonts w:ascii="Times New Roman" w:hAnsi="Times New Roman" w:eastAsia="宋体"/>
          <w:b/>
          <w:sz w:val="24"/>
        </w:rPr>
        <w:t>3.2 疾病共现网络结构</w:t>
      </w:r>
    </w:p>
    <w:p>
      <w:pPr>
        <w:spacing w:line="360" w:lineRule="auto"/>
        <w:ind w:firstLine="480"/>
      </w:pPr>
      <w:r>
        <w:rPr>
          <w:rFonts w:ascii="Times New Roman" w:hAnsi="Times New Roman" w:eastAsia="宋体"/>
          <w:b w:val="0"/>
          <w:sz w:val="24"/>
        </w:rPr>
        <w:t>基于诊断编码归并后的疾病种类构建疾病共现网络，网络共包含</w:t>
      </w:r>
      <w:r>
        <w:rPr>
          <w:rFonts w:ascii="Times New Roman" w:hAnsi="Times New Roman" w:eastAsia="宋体"/>
          <w:b/>
          <w:sz w:val="24"/>
        </w:rPr>
        <w:t>24种疾病节点、50条共现边</w:t>
      </w:r>
      <w:r>
        <w:rPr>
          <w:rFonts w:ascii="Times New Roman" w:hAnsi="Times New Roman" w:eastAsia="宋体"/>
          <w:b w:val="0"/>
          <w:sz w:val="24"/>
        </w:rPr>
        <w:t>。高频共现疾病对（Top 10）见表1。</w:t>
      </w:r>
    </w:p>
    <w:p>
      <w:pPr>
        <w:spacing w:line="360" w:lineRule="auto"/>
      </w:pPr>
      <w:r>
        <w:rPr>
          <w:rFonts w:ascii="Times New Roman" w:hAnsi="Times New Roman" w:eastAsia="宋体"/>
          <w:b/>
          <w:sz w:val="24"/>
        </w:rPr>
        <w:t>表1 高频共现疾病对（Top 10）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排序</w:t>
            </w:r>
          </w:p>
        </w:tc>
        <w:tc>
          <w:tcPr>
            <w:tcW w:type="dxa" w:w="2880"/>
          </w:tcPr>
          <w:p>
            <w:r/>
            <w:r>
              <w:rPr>
                <w:rFonts w:ascii="Times New Roman" w:hAnsi="Times New Roman" w:eastAsia="黑体"/>
                <w:b/>
                <w:sz w:val="18"/>
              </w:rPr>
              <w:t>疾病对</w:t>
            </w:r>
          </w:p>
        </w:tc>
        <w:tc>
          <w:tcPr>
            <w:tcW w:type="dxa" w:w="2880"/>
          </w:tcPr>
          <w:p>
            <w:r/>
            <w:r>
              <w:rPr>
                <w:rFonts w:ascii="Times New Roman" w:hAnsi="Times New Roman" w:eastAsia="黑体"/>
                <w:b/>
                <w:sz w:val="18"/>
              </w:rPr>
              <w:t>共现次数</w:t>
            </w:r>
          </w:p>
        </w:tc>
      </w:tr>
      <w:tr>
        <w:tc>
          <w:tcPr>
            <w:tcW w:type="dxa" w:w="2880"/>
          </w:tcPr>
          <w:p>
            <w:r/>
            <w:r>
              <w:rPr>
                <w:rFonts w:ascii="Times New Roman" w:hAnsi="Times New Roman" w:eastAsia="宋体"/>
                <w:b w:val="0"/>
                <w:sz w:val="18"/>
              </w:rPr>
              <w:t>1</w:t>
            </w:r>
          </w:p>
        </w:tc>
        <w:tc>
          <w:tcPr>
            <w:tcW w:type="dxa" w:w="2880"/>
          </w:tcPr>
          <w:p>
            <w:r/>
            <w:r>
              <w:rPr>
                <w:rFonts w:ascii="Times New Roman" w:hAnsi="Times New Roman" w:eastAsia="宋体"/>
                <w:b w:val="0"/>
                <w:sz w:val="18"/>
              </w:rPr>
              <w:t>冠状动脉粥样硬化性心脏病 — 高血压</w:t>
            </w:r>
          </w:p>
        </w:tc>
        <w:tc>
          <w:tcPr>
            <w:tcW w:type="dxa" w:w="2880"/>
          </w:tcPr>
          <w:p>
            <w:r/>
            <w:r>
              <w:rPr>
                <w:rFonts w:ascii="Times New Roman" w:hAnsi="Times New Roman" w:eastAsia="宋体"/>
                <w:b w:val="0"/>
                <w:sz w:val="18"/>
              </w:rPr>
              <w:t>1 184</w:t>
            </w:r>
          </w:p>
        </w:tc>
      </w:tr>
      <w:tr>
        <w:tc>
          <w:tcPr>
            <w:tcW w:type="dxa" w:w="2880"/>
          </w:tcPr>
          <w:p>
            <w:r/>
            <w:r>
              <w:rPr>
                <w:rFonts w:ascii="Times New Roman" w:hAnsi="Times New Roman" w:eastAsia="宋体"/>
                <w:b w:val="0"/>
                <w:sz w:val="18"/>
              </w:rPr>
              <w:t>2</w:t>
            </w:r>
          </w:p>
        </w:tc>
        <w:tc>
          <w:tcPr>
            <w:tcW w:type="dxa" w:w="2880"/>
          </w:tcPr>
          <w:p>
            <w:r/>
            <w:r>
              <w:rPr>
                <w:rFonts w:ascii="Times New Roman" w:hAnsi="Times New Roman" w:eastAsia="宋体"/>
                <w:b w:val="0"/>
                <w:sz w:val="18"/>
              </w:rPr>
              <w:t>冠状动脉粥样硬化性心脏病 — 肺部感染</w:t>
            </w:r>
          </w:p>
        </w:tc>
        <w:tc>
          <w:tcPr>
            <w:tcW w:type="dxa" w:w="2880"/>
          </w:tcPr>
          <w:p>
            <w:r/>
            <w:r>
              <w:rPr>
                <w:rFonts w:ascii="Times New Roman" w:hAnsi="Times New Roman" w:eastAsia="宋体"/>
                <w:b w:val="0"/>
                <w:sz w:val="18"/>
              </w:rPr>
              <w:t>827</w:t>
            </w:r>
          </w:p>
        </w:tc>
      </w:tr>
      <w:tr>
        <w:tc>
          <w:tcPr>
            <w:tcW w:type="dxa" w:w="2880"/>
          </w:tcPr>
          <w:p>
            <w:r/>
            <w:r>
              <w:rPr>
                <w:rFonts w:ascii="Times New Roman" w:hAnsi="Times New Roman" w:eastAsia="宋体"/>
                <w:b w:val="0"/>
                <w:sz w:val="18"/>
              </w:rPr>
              <w:t>3</w:t>
            </w:r>
          </w:p>
        </w:tc>
        <w:tc>
          <w:tcPr>
            <w:tcW w:type="dxa" w:w="2880"/>
          </w:tcPr>
          <w:p>
            <w:r/>
            <w:r>
              <w:rPr>
                <w:rFonts w:ascii="Times New Roman" w:hAnsi="Times New Roman" w:eastAsia="宋体"/>
                <w:b w:val="0"/>
                <w:sz w:val="18"/>
              </w:rPr>
              <w:t>肺恶性肿瘤 — 肺部感染</w:t>
            </w:r>
          </w:p>
        </w:tc>
        <w:tc>
          <w:tcPr>
            <w:tcW w:type="dxa" w:w="2880"/>
          </w:tcPr>
          <w:p>
            <w:r/>
            <w:r>
              <w:rPr>
                <w:rFonts w:ascii="Times New Roman" w:hAnsi="Times New Roman" w:eastAsia="宋体"/>
                <w:b w:val="0"/>
                <w:sz w:val="18"/>
              </w:rPr>
              <w:t>625</w:t>
            </w:r>
          </w:p>
        </w:tc>
      </w:tr>
      <w:tr>
        <w:tc>
          <w:tcPr>
            <w:tcW w:type="dxa" w:w="2880"/>
          </w:tcPr>
          <w:p>
            <w:r/>
            <w:r>
              <w:rPr>
                <w:rFonts w:ascii="Times New Roman" w:hAnsi="Times New Roman" w:eastAsia="宋体"/>
                <w:b w:val="0"/>
                <w:sz w:val="18"/>
              </w:rPr>
              <w:t>4</w:t>
            </w:r>
          </w:p>
        </w:tc>
        <w:tc>
          <w:tcPr>
            <w:tcW w:type="dxa" w:w="2880"/>
          </w:tcPr>
          <w:p>
            <w:r/>
            <w:r>
              <w:rPr>
                <w:rFonts w:ascii="Times New Roman" w:hAnsi="Times New Roman" w:eastAsia="宋体"/>
                <w:b w:val="0"/>
                <w:sz w:val="18"/>
              </w:rPr>
              <w:t>脑梗死 — 高血压</w:t>
            </w:r>
          </w:p>
        </w:tc>
        <w:tc>
          <w:tcPr>
            <w:tcW w:type="dxa" w:w="2880"/>
          </w:tcPr>
          <w:p>
            <w:r/>
            <w:r>
              <w:rPr>
                <w:rFonts w:ascii="Times New Roman" w:hAnsi="Times New Roman" w:eastAsia="宋体"/>
                <w:b w:val="0"/>
                <w:sz w:val="18"/>
              </w:rPr>
              <w:t>624</w:t>
            </w:r>
          </w:p>
        </w:tc>
      </w:tr>
      <w:tr>
        <w:tc>
          <w:tcPr>
            <w:tcW w:type="dxa" w:w="2880"/>
          </w:tcPr>
          <w:p>
            <w:r/>
            <w:r>
              <w:rPr>
                <w:rFonts w:ascii="Times New Roman" w:hAnsi="Times New Roman" w:eastAsia="宋体"/>
                <w:b w:val="0"/>
                <w:sz w:val="18"/>
              </w:rPr>
              <w:t>5</w:t>
            </w:r>
          </w:p>
        </w:tc>
        <w:tc>
          <w:tcPr>
            <w:tcW w:type="dxa" w:w="2880"/>
          </w:tcPr>
          <w:p>
            <w:r/>
            <w:r>
              <w:rPr>
                <w:rFonts w:ascii="Times New Roman" w:hAnsi="Times New Roman" w:eastAsia="宋体"/>
                <w:b w:val="0"/>
                <w:sz w:val="18"/>
              </w:rPr>
              <w:t>冠状动脉粥样硬化性心脏病 — 肺恶性肿瘤</w:t>
            </w:r>
          </w:p>
        </w:tc>
        <w:tc>
          <w:tcPr>
            <w:tcW w:type="dxa" w:w="2880"/>
          </w:tcPr>
          <w:p>
            <w:r/>
            <w:r>
              <w:rPr>
                <w:rFonts w:ascii="Times New Roman" w:hAnsi="Times New Roman" w:eastAsia="宋体"/>
                <w:b w:val="0"/>
                <w:sz w:val="18"/>
              </w:rPr>
              <w:t>585</w:t>
            </w:r>
          </w:p>
        </w:tc>
      </w:tr>
      <w:tr>
        <w:tc>
          <w:tcPr>
            <w:tcW w:type="dxa" w:w="2880"/>
          </w:tcPr>
          <w:p>
            <w:r/>
            <w:r>
              <w:rPr>
                <w:rFonts w:ascii="Times New Roman" w:hAnsi="Times New Roman" w:eastAsia="宋体"/>
                <w:b w:val="0"/>
                <w:sz w:val="18"/>
              </w:rPr>
              <w:t>6</w:t>
            </w:r>
          </w:p>
        </w:tc>
        <w:tc>
          <w:tcPr>
            <w:tcW w:type="dxa" w:w="2880"/>
          </w:tcPr>
          <w:p>
            <w:r/>
            <w:r>
              <w:rPr>
                <w:rFonts w:ascii="Times New Roman" w:hAnsi="Times New Roman" w:eastAsia="宋体"/>
                <w:b w:val="0"/>
                <w:sz w:val="18"/>
              </w:rPr>
              <w:t>肺大疱 — 肺气肿</w:t>
            </w:r>
          </w:p>
        </w:tc>
        <w:tc>
          <w:tcPr>
            <w:tcW w:type="dxa" w:w="2880"/>
          </w:tcPr>
          <w:p>
            <w:r/>
            <w:r>
              <w:rPr>
                <w:rFonts w:ascii="Times New Roman" w:hAnsi="Times New Roman" w:eastAsia="宋体"/>
                <w:b w:val="0"/>
                <w:sz w:val="18"/>
              </w:rPr>
              <w:t>561</w:t>
            </w:r>
          </w:p>
        </w:tc>
      </w:tr>
      <w:tr>
        <w:tc>
          <w:tcPr>
            <w:tcW w:type="dxa" w:w="2880"/>
          </w:tcPr>
          <w:p>
            <w:r/>
            <w:r>
              <w:rPr>
                <w:rFonts w:ascii="Times New Roman" w:hAnsi="Times New Roman" w:eastAsia="宋体"/>
                <w:b w:val="0"/>
                <w:sz w:val="18"/>
              </w:rPr>
              <w:t>7</w:t>
            </w:r>
          </w:p>
        </w:tc>
        <w:tc>
          <w:tcPr>
            <w:tcW w:type="dxa" w:w="2880"/>
          </w:tcPr>
          <w:p>
            <w:r/>
            <w:r>
              <w:rPr>
                <w:rFonts w:ascii="Times New Roman" w:hAnsi="Times New Roman" w:eastAsia="宋体"/>
                <w:b w:val="0"/>
                <w:sz w:val="18"/>
              </w:rPr>
              <w:t>冠状动脉粥样硬化性心脏病 — 脑梗死</w:t>
            </w:r>
          </w:p>
        </w:tc>
        <w:tc>
          <w:tcPr>
            <w:tcW w:type="dxa" w:w="2880"/>
          </w:tcPr>
          <w:p>
            <w:r/>
            <w:r>
              <w:rPr>
                <w:rFonts w:ascii="Times New Roman" w:hAnsi="Times New Roman" w:eastAsia="宋体"/>
                <w:b w:val="0"/>
                <w:sz w:val="18"/>
              </w:rPr>
              <w:t>536</w:t>
            </w:r>
          </w:p>
        </w:tc>
      </w:tr>
      <w:tr>
        <w:tc>
          <w:tcPr>
            <w:tcW w:type="dxa" w:w="2880"/>
          </w:tcPr>
          <w:p>
            <w:r/>
            <w:r>
              <w:rPr>
                <w:rFonts w:ascii="Times New Roman" w:hAnsi="Times New Roman" w:eastAsia="宋体"/>
                <w:b w:val="0"/>
                <w:sz w:val="18"/>
              </w:rPr>
              <w:t>8</w:t>
            </w:r>
          </w:p>
        </w:tc>
        <w:tc>
          <w:tcPr>
            <w:tcW w:type="dxa" w:w="2880"/>
          </w:tcPr>
          <w:p>
            <w:r/>
            <w:r>
              <w:rPr>
                <w:rFonts w:ascii="Times New Roman" w:hAnsi="Times New Roman" w:eastAsia="宋体"/>
                <w:b w:val="0"/>
                <w:sz w:val="18"/>
              </w:rPr>
              <w:t>冠状动脉粥样硬化性心脏病 — 糖尿病</w:t>
            </w:r>
          </w:p>
        </w:tc>
        <w:tc>
          <w:tcPr>
            <w:tcW w:type="dxa" w:w="2880"/>
          </w:tcPr>
          <w:p>
            <w:r/>
            <w:r>
              <w:rPr>
                <w:rFonts w:ascii="Times New Roman" w:hAnsi="Times New Roman" w:eastAsia="宋体"/>
                <w:b w:val="0"/>
                <w:sz w:val="18"/>
              </w:rPr>
              <w:t>457</w:t>
            </w:r>
          </w:p>
        </w:tc>
      </w:tr>
      <w:tr>
        <w:tc>
          <w:tcPr>
            <w:tcW w:type="dxa" w:w="2880"/>
          </w:tcPr>
          <w:p>
            <w:r/>
            <w:r>
              <w:rPr>
                <w:rFonts w:ascii="Times New Roman" w:hAnsi="Times New Roman" w:eastAsia="宋体"/>
                <w:b w:val="0"/>
                <w:sz w:val="18"/>
              </w:rPr>
              <w:t>9</w:t>
            </w:r>
          </w:p>
        </w:tc>
        <w:tc>
          <w:tcPr>
            <w:tcW w:type="dxa" w:w="2880"/>
          </w:tcPr>
          <w:p>
            <w:r/>
            <w:r>
              <w:rPr>
                <w:rFonts w:ascii="Times New Roman" w:hAnsi="Times New Roman" w:eastAsia="宋体"/>
                <w:b w:val="0"/>
                <w:sz w:val="18"/>
              </w:rPr>
              <w:t>糖尿病 — 高血压</w:t>
            </w:r>
          </w:p>
        </w:tc>
        <w:tc>
          <w:tcPr>
            <w:tcW w:type="dxa" w:w="2880"/>
          </w:tcPr>
          <w:p>
            <w:r/>
            <w:r>
              <w:rPr>
                <w:rFonts w:ascii="Times New Roman" w:hAnsi="Times New Roman" w:eastAsia="宋体"/>
                <w:b w:val="0"/>
                <w:sz w:val="18"/>
              </w:rPr>
              <w:t>446</w:t>
            </w:r>
          </w:p>
        </w:tc>
      </w:tr>
      <w:tr>
        <w:tc>
          <w:tcPr>
            <w:tcW w:type="dxa" w:w="2880"/>
          </w:tcPr>
          <w:p>
            <w:r/>
            <w:r>
              <w:rPr>
                <w:rFonts w:ascii="Times New Roman" w:hAnsi="Times New Roman" w:eastAsia="宋体"/>
                <w:b w:val="0"/>
                <w:sz w:val="18"/>
              </w:rPr>
              <w:t>10</w:t>
            </w:r>
          </w:p>
        </w:tc>
        <w:tc>
          <w:tcPr>
            <w:tcW w:type="dxa" w:w="2880"/>
          </w:tcPr>
          <w:p>
            <w:r/>
            <w:r>
              <w:rPr>
                <w:rFonts w:ascii="Times New Roman" w:hAnsi="Times New Roman" w:eastAsia="宋体"/>
                <w:b w:val="0"/>
                <w:sz w:val="18"/>
              </w:rPr>
              <w:t>淋巴结继发恶性肿瘤 — 肺恶性肿瘤</w:t>
            </w:r>
          </w:p>
        </w:tc>
        <w:tc>
          <w:tcPr>
            <w:tcW w:type="dxa" w:w="2880"/>
          </w:tcPr>
          <w:p>
            <w:r/>
            <w:r>
              <w:rPr>
                <w:rFonts w:ascii="Times New Roman" w:hAnsi="Times New Roman" w:eastAsia="宋体"/>
                <w:b w:val="0"/>
                <w:sz w:val="18"/>
              </w:rPr>
              <w:t>445</w:t>
            </w:r>
          </w:p>
        </w:tc>
      </w:tr>
    </w:tbl>
    <w:p>
      <w:pPr>
        <w:spacing w:line="360" w:lineRule="auto"/>
        <w:ind w:firstLine="480"/>
      </w:pPr>
      <w:r>
        <w:rPr>
          <w:rFonts w:ascii="Times New Roman" w:hAnsi="Times New Roman" w:eastAsia="宋体"/>
          <w:b/>
          <w:sz w:val="24"/>
        </w:rPr>
        <w:t>网络结构描述</w:t>
      </w:r>
      <w:r>
        <w:rPr>
          <w:rFonts w:ascii="Times New Roman" w:hAnsi="Times New Roman" w:eastAsia="宋体"/>
          <w:b w:val="0"/>
          <w:sz w:val="24"/>
        </w:rPr>
        <w:t>：</w:t>
      </w:r>
    </w:p>
    <w:p>
      <w:pPr>
        <w:spacing w:line="360" w:lineRule="auto"/>
        <w:ind w:firstLine="480"/>
      </w:pPr>
      <w:r>
        <w:rPr>
          <w:rFonts w:ascii="Times New Roman" w:hAnsi="Times New Roman" w:eastAsia="宋体"/>
          <w:b w:val="0"/>
          <w:sz w:val="24"/>
        </w:rPr>
        <w:t xml:space="preserve">- </w:t>
      </w:r>
      <w:r>
        <w:rPr>
          <w:rFonts w:ascii="Times New Roman" w:hAnsi="Times New Roman" w:eastAsia="宋体"/>
          <w:b/>
          <w:sz w:val="24"/>
        </w:rPr>
        <w:t>心血管代谢疾病相关共现</w:t>
      </w:r>
      <w:r>
        <w:rPr>
          <w:rFonts w:ascii="Times New Roman" w:hAnsi="Times New Roman" w:eastAsia="宋体"/>
          <w:b w:val="0"/>
          <w:sz w:val="24"/>
        </w:rPr>
        <w:t>：冠状动脉粥样硬化性心脏病与高血压的共现频次最高（1 184次），为网络中最强的疾病对。此外，冠状动脉粥样硬化性心脏病与脑梗死（536次）、糖尿病（457次）之间亦存在较高频次的共现，提示心血管代谢相关疾病在肺恶性肿瘤住院患者中呈现共存聚集特征。</w:t>
      </w:r>
    </w:p>
    <w:p>
      <w:pPr>
        <w:spacing w:line="360" w:lineRule="auto"/>
        <w:ind w:firstLine="480"/>
      </w:pPr>
      <w:r>
        <w:rPr>
          <w:rFonts w:ascii="Times New Roman" w:hAnsi="Times New Roman" w:eastAsia="宋体"/>
          <w:b w:val="0"/>
          <w:sz w:val="24"/>
        </w:rPr>
        <w:t xml:space="preserve">- </w:t>
      </w:r>
      <w:r>
        <w:rPr>
          <w:rFonts w:ascii="Times New Roman" w:hAnsi="Times New Roman" w:eastAsia="宋体"/>
          <w:b/>
          <w:sz w:val="24"/>
        </w:rPr>
        <w:t>呼吸系统疾病相关共现</w:t>
      </w:r>
      <w:r>
        <w:rPr>
          <w:rFonts w:ascii="Times New Roman" w:hAnsi="Times New Roman" w:eastAsia="宋体"/>
          <w:b w:val="0"/>
          <w:sz w:val="24"/>
        </w:rPr>
        <w:t>：肺大疱与肺气肿共现561次，反映呼吸系统疾病内部的共存聚集。肺部感染与冠状动脉粥样硬化性心脏病（827次）、肺恶性肿瘤（625次）之间均存在高频共现，提示肺部感染在共病网络中与多个疾病节点存在密切联系。</w:t>
      </w:r>
    </w:p>
    <w:p>
      <w:pPr>
        <w:spacing w:line="360" w:lineRule="auto"/>
        <w:ind w:firstLine="480"/>
      </w:pPr>
      <w:r>
        <w:rPr>
          <w:rFonts w:ascii="Times New Roman" w:hAnsi="Times New Roman" w:eastAsia="宋体"/>
          <w:b w:val="0"/>
          <w:sz w:val="24"/>
        </w:rPr>
        <w:t xml:space="preserve">- </w:t>
      </w:r>
      <w:r>
        <w:rPr>
          <w:rFonts w:ascii="Times New Roman" w:hAnsi="Times New Roman" w:eastAsia="宋体"/>
          <w:b/>
          <w:sz w:val="24"/>
        </w:rPr>
        <w:t>肿瘤进展相关共现</w:t>
      </w:r>
      <w:r>
        <w:rPr>
          <w:rFonts w:ascii="Times New Roman" w:hAnsi="Times New Roman" w:eastAsia="宋体"/>
          <w:b w:val="0"/>
          <w:sz w:val="24"/>
        </w:rPr>
        <w:t>：淋巴结继发恶性肿瘤与肺恶性肿瘤共现445次，反映肿瘤转移相关共病模式。</w:t>
      </w:r>
    </w:p>
    <w:p>
      <w:pPr>
        <w:spacing w:line="360" w:lineRule="auto"/>
        <w:ind w:firstLine="480"/>
      </w:pPr>
      <w:r>
        <w:rPr>
          <w:rFonts w:ascii="Times New Roman" w:hAnsi="Times New Roman" w:eastAsia="宋体"/>
          <w:b w:val="0"/>
          <w:sz w:val="24"/>
        </w:rPr>
        <w:t>需指出，上述网络分析仅基于疾病共现频次的描述性统计，未计算模块度、中心性等网络拓扑指标，亦未进行定量聚类分析，因此本研究所呈现的“聚集”特征仅为基于共现频次高低的直观归纳，不代表经过统计检验验证的网络社区结构。</w:t>
      </w:r>
    </w:p>
    <w:p>
      <w:pPr>
        <w:spacing w:line="360" w:lineRule="auto"/>
      </w:pPr>
      <w:r>
        <w:rPr>
          <w:rFonts w:ascii="Times New Roman" w:hAnsi="Times New Roman" w:eastAsia="宋体"/>
          <w:b/>
          <w:sz w:val="24"/>
        </w:rPr>
        <w:t>3.3 分类预测模型性能</w:t>
      </w:r>
    </w:p>
    <w:p>
      <w:pPr>
        <w:spacing w:line="360" w:lineRule="auto"/>
        <w:ind w:firstLine="480"/>
      </w:pPr>
      <w:r>
        <w:rPr>
          <w:rFonts w:ascii="Times New Roman" w:hAnsi="Times New Roman" w:eastAsia="宋体"/>
          <w:b w:val="0"/>
          <w:sz w:val="24"/>
        </w:rPr>
        <w:t>以再入院（`is_readmission`）为目标变量，基于13 743次就诊样本（阳性率84.1%）训练Logistic回归与随机森林两种二分类模型，性能对比见表2。</w:t>
      </w:r>
    </w:p>
    <w:p>
      <w:pPr>
        <w:spacing w:line="360" w:lineRule="auto"/>
      </w:pPr>
      <w:r>
        <w:rPr>
          <w:rFonts w:ascii="Times New Roman" w:hAnsi="Times New Roman" w:eastAsia="宋体"/>
          <w:b/>
          <w:sz w:val="24"/>
        </w:rPr>
        <w:t>表2 分类预测模型性能</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模型</w:t>
            </w:r>
          </w:p>
        </w:tc>
        <w:tc>
          <w:tcPr>
            <w:tcW w:type="dxa" w:w="2880"/>
          </w:tcPr>
          <w:p>
            <w:r/>
            <w:r>
              <w:rPr>
                <w:rFonts w:ascii="Times New Roman" w:hAnsi="Times New Roman" w:eastAsia="黑体"/>
                <w:b/>
                <w:sz w:val="18"/>
              </w:rPr>
              <w:t>Accuracy</w:t>
            </w:r>
          </w:p>
        </w:tc>
        <w:tc>
          <w:tcPr>
            <w:tcW w:type="dxa" w:w="2880"/>
          </w:tcPr>
          <w:p>
            <w:r/>
            <w:r>
              <w:rPr>
                <w:rFonts w:ascii="Times New Roman" w:hAnsi="Times New Roman" w:eastAsia="黑体"/>
                <w:b/>
                <w:sz w:val="18"/>
              </w:rPr>
              <w:t>AUC</w:t>
            </w:r>
          </w:p>
        </w:tc>
      </w:tr>
      <w:tr>
        <w:tc>
          <w:tcPr>
            <w:tcW w:type="dxa" w:w="2880"/>
          </w:tcPr>
          <w:p>
            <w:r/>
            <w:r>
              <w:rPr>
                <w:rFonts w:ascii="Times New Roman" w:hAnsi="Times New Roman" w:eastAsia="宋体"/>
                <w:b w:val="0"/>
                <w:sz w:val="18"/>
              </w:rPr>
              <w:t>Logistic回归</w:t>
            </w:r>
          </w:p>
        </w:tc>
        <w:tc>
          <w:tcPr>
            <w:tcW w:type="dxa" w:w="2880"/>
          </w:tcPr>
          <w:p>
            <w:r/>
            <w:r>
              <w:rPr>
                <w:rFonts w:ascii="Times New Roman" w:hAnsi="Times New Roman" w:eastAsia="宋体"/>
                <w:b w:val="0"/>
                <w:sz w:val="18"/>
              </w:rPr>
              <w:t>0.841</w:t>
            </w:r>
          </w:p>
        </w:tc>
        <w:tc>
          <w:tcPr>
            <w:tcW w:type="dxa" w:w="2880"/>
          </w:tcPr>
          <w:p>
            <w:r/>
            <w:r>
              <w:rPr>
                <w:rFonts w:ascii="Times New Roman" w:hAnsi="Times New Roman" w:eastAsia="宋体"/>
                <w:b w:val="0"/>
                <w:sz w:val="18"/>
              </w:rPr>
              <w:t>0.686</w:t>
            </w:r>
          </w:p>
        </w:tc>
      </w:tr>
      <w:tr>
        <w:tc>
          <w:tcPr>
            <w:tcW w:type="dxa" w:w="2880"/>
          </w:tcPr>
          <w:p>
            <w:r/>
            <w:r>
              <w:rPr>
                <w:rFonts w:ascii="Times New Roman" w:hAnsi="Times New Roman" w:eastAsia="宋体"/>
                <w:b w:val="0"/>
                <w:sz w:val="18"/>
              </w:rPr>
              <w:t>随机森林</w:t>
            </w:r>
          </w:p>
        </w:tc>
        <w:tc>
          <w:tcPr>
            <w:tcW w:type="dxa" w:w="2880"/>
          </w:tcPr>
          <w:p>
            <w:r/>
            <w:r>
              <w:rPr>
                <w:rFonts w:ascii="Times New Roman" w:hAnsi="Times New Roman" w:eastAsia="宋体"/>
                <w:b w:val="0"/>
                <w:sz w:val="18"/>
              </w:rPr>
              <w:t>0.835</w:t>
            </w:r>
          </w:p>
        </w:tc>
        <w:tc>
          <w:tcPr>
            <w:tcW w:type="dxa" w:w="2880"/>
          </w:tcPr>
          <w:p>
            <w:r/>
            <w:r>
              <w:rPr>
                <w:rFonts w:ascii="Times New Roman" w:hAnsi="Times New Roman" w:eastAsia="宋体"/>
                <w:b w:val="0"/>
                <w:sz w:val="18"/>
              </w:rPr>
              <w:t>0.702</w:t>
            </w:r>
          </w:p>
        </w:tc>
      </w:tr>
    </w:tbl>
    <w:p>
      <w:pPr>
        <w:spacing w:line="360" w:lineRule="auto"/>
        <w:ind w:firstLine="480"/>
      </w:pPr>
      <w:r>
        <w:rPr>
          <w:rFonts w:ascii="Times New Roman" w:hAnsi="Times New Roman" w:eastAsia="宋体"/>
          <w:b w:val="0"/>
          <w:sz w:val="24"/>
        </w:rPr>
        <w:t>两种模型的Accuracy相近（Logistic回归0.841，随机森林0.835），AUC分别为0.686与0.702，整体判别能力处于中等水平。随机森林的AUC略高于Logistic回归，但两者差异未进行统计学检验（数据未收集），故不能据此判断随机森林的判别性能优于Logistic回归。此外，由于训练集与测试集的划分方式、交叉验证策略及超参数调优细节因原始分析记录未留存而不可得，上述模型性能指标无法被独立验证或复现，应视为探索性结果。</w:t>
      </w:r>
    </w:p>
    <w:p>
      <w:pPr>
        <w:spacing w:line="360" w:lineRule="auto"/>
      </w:pPr>
      <w:r>
        <w:rPr>
          <w:rFonts w:ascii="Times New Roman" w:hAnsi="Times New Roman" w:eastAsia="宋体"/>
          <w:b/>
          <w:sz w:val="24"/>
        </w:rPr>
        <w:t>3.4 特征重要性分析（随机森林）</w:t>
      </w:r>
    </w:p>
    <w:p>
      <w:pPr>
        <w:spacing w:line="360" w:lineRule="auto"/>
        <w:ind w:firstLine="480"/>
      </w:pPr>
      <w:r>
        <w:rPr>
          <w:rFonts w:ascii="Times New Roman" w:hAnsi="Times New Roman" w:eastAsia="宋体"/>
          <w:b w:val="0"/>
          <w:sz w:val="24"/>
        </w:rPr>
        <w:t>基于随机森林模型的Gini重要性，对62个特征进行重要性排序。</w:t>
      </w:r>
      <w:r>
        <w:rPr>
          <w:rFonts w:ascii="Times New Roman" w:hAnsi="Times New Roman" w:eastAsia="宋体"/>
          <w:b/>
          <w:sz w:val="24"/>
        </w:rPr>
        <w:t>年龄（`age_years`）为重要性最高的特征，重要性值为0.258</w:t>
      </w:r>
      <w:r>
        <w:rPr>
          <w:rFonts w:ascii="Times New Roman" w:hAnsi="Times New Roman" w:eastAsia="宋体"/>
          <w:b w:val="0"/>
          <w:sz w:val="24"/>
        </w:rPr>
        <w:t>，明显高于其余特征。其余排名靠前的特征及其重要性值见表3。</w:t>
      </w:r>
    </w:p>
    <w:p>
      <w:pPr>
        <w:spacing w:line="360" w:lineRule="auto"/>
      </w:pPr>
      <w:r>
        <w:rPr>
          <w:rFonts w:ascii="Times New Roman" w:hAnsi="Times New Roman" w:eastAsia="宋体"/>
          <w:b/>
          <w:sz w:val="24"/>
        </w:rPr>
        <w:t>表3 随机森林特征重要性排行（Top 10）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排序</w:t>
            </w:r>
          </w:p>
        </w:tc>
        <w:tc>
          <w:tcPr>
            <w:tcW w:type="dxa" w:w="2880"/>
          </w:tcPr>
          <w:p>
            <w:r/>
            <w:r>
              <w:rPr>
                <w:rFonts w:ascii="Times New Roman" w:hAnsi="Times New Roman" w:eastAsia="黑体"/>
                <w:b/>
                <w:sz w:val="18"/>
              </w:rPr>
              <w:t>特征</w:t>
            </w:r>
          </w:p>
        </w:tc>
        <w:tc>
          <w:tcPr>
            <w:tcW w:type="dxa" w:w="2880"/>
          </w:tcPr>
          <w:p>
            <w:r/>
            <w:r>
              <w:rPr>
                <w:rFonts w:ascii="Times New Roman" w:hAnsi="Times New Roman" w:eastAsia="黑体"/>
                <w:b/>
                <w:sz w:val="18"/>
              </w:rPr>
              <w:t>重要性</w:t>
            </w:r>
          </w:p>
        </w:tc>
      </w:tr>
      <w:tr>
        <w:tc>
          <w:tcPr>
            <w:tcW w:type="dxa" w:w="2880"/>
          </w:tcPr>
          <w:p>
            <w:r/>
            <w:r>
              <w:rPr>
                <w:rFonts w:ascii="Times New Roman" w:hAnsi="Times New Roman" w:eastAsia="宋体"/>
                <w:b w:val="0"/>
                <w:sz w:val="18"/>
              </w:rPr>
              <w:t>1</w:t>
            </w:r>
          </w:p>
        </w:tc>
        <w:tc>
          <w:tcPr>
            <w:tcW w:type="dxa" w:w="2880"/>
          </w:tcPr>
          <w:p>
            <w:r/>
            <w:r>
              <w:rPr>
                <w:rFonts w:ascii="Times New Roman" w:hAnsi="Times New Roman" w:eastAsia="宋体"/>
                <w:b w:val="0"/>
                <w:sz w:val="18"/>
              </w:rPr>
              <w:t>age_years</w:t>
            </w:r>
          </w:p>
        </w:tc>
        <w:tc>
          <w:tcPr>
            <w:tcW w:type="dxa" w:w="2880"/>
          </w:tcPr>
          <w:p>
            <w:r/>
            <w:r>
              <w:rPr>
                <w:rFonts w:ascii="Times New Roman" w:hAnsi="Times New Roman" w:eastAsia="宋体"/>
                <w:b w:val="0"/>
                <w:sz w:val="18"/>
              </w:rPr>
              <w:t>0.258</w:t>
            </w:r>
          </w:p>
        </w:tc>
      </w:tr>
      <w:tr>
        <w:tc>
          <w:tcPr>
            <w:tcW w:type="dxa" w:w="2880"/>
          </w:tcPr>
          <w:p>
            <w:r/>
            <w:r>
              <w:rPr>
                <w:rFonts w:ascii="Times New Roman" w:hAnsi="Times New Roman" w:eastAsia="宋体"/>
                <w:b w:val="0"/>
                <w:sz w:val="18"/>
              </w:rPr>
              <w:t>2</w:t>
            </w:r>
          </w:p>
        </w:tc>
        <w:tc>
          <w:tcPr>
            <w:tcW w:type="dxa" w:w="2880"/>
          </w:tcPr>
          <w:p>
            <w:r/>
            <w:r>
              <w:rPr>
                <w:rFonts w:ascii="Times New Roman" w:hAnsi="Times New Roman" w:eastAsia="宋体"/>
                <w:b w:val="0"/>
                <w:sz w:val="18"/>
              </w:rPr>
              <w:t>用药_中药熏洗治疗</w:t>
            </w:r>
          </w:p>
        </w:tc>
        <w:tc>
          <w:tcPr>
            <w:tcW w:type="dxa" w:w="2880"/>
          </w:tcPr>
          <w:p>
            <w:r/>
            <w:r>
              <w:rPr>
                <w:rFonts w:ascii="Times New Roman" w:hAnsi="Times New Roman" w:eastAsia="宋体"/>
                <w:b w:val="0"/>
                <w:sz w:val="18"/>
              </w:rPr>
              <w:t>0.032</w:t>
            </w:r>
          </w:p>
        </w:tc>
      </w:tr>
      <w:tr>
        <w:tc>
          <w:tcPr>
            <w:tcW w:type="dxa" w:w="2880"/>
          </w:tcPr>
          <w:p>
            <w:r/>
            <w:r>
              <w:rPr>
                <w:rFonts w:ascii="Times New Roman" w:hAnsi="Times New Roman" w:eastAsia="宋体"/>
                <w:b w:val="0"/>
                <w:sz w:val="18"/>
              </w:rPr>
              <w:t>3</w:t>
            </w:r>
          </w:p>
        </w:tc>
        <w:tc>
          <w:tcPr>
            <w:tcW w:type="dxa" w:w="2880"/>
          </w:tcPr>
          <w:p>
            <w:r/>
            <w:r>
              <w:rPr>
                <w:rFonts w:ascii="Times New Roman" w:hAnsi="Times New Roman" w:eastAsia="宋体"/>
                <w:b w:val="0"/>
                <w:sz w:val="18"/>
              </w:rPr>
              <w:t>用药_地塞米松注射液</w:t>
            </w:r>
          </w:p>
        </w:tc>
        <w:tc>
          <w:tcPr>
            <w:tcW w:type="dxa" w:w="2880"/>
          </w:tcPr>
          <w:p>
            <w:r/>
            <w:r>
              <w:rPr>
                <w:rFonts w:ascii="Times New Roman" w:hAnsi="Times New Roman" w:eastAsia="宋体"/>
                <w:b w:val="0"/>
                <w:sz w:val="18"/>
              </w:rPr>
              <w:t>0.031</w:t>
            </w:r>
          </w:p>
        </w:tc>
      </w:tr>
      <w:tr>
        <w:tc>
          <w:tcPr>
            <w:tcW w:type="dxa" w:w="2880"/>
          </w:tcPr>
          <w:p>
            <w:r/>
            <w:r>
              <w:rPr>
                <w:rFonts w:ascii="Times New Roman" w:hAnsi="Times New Roman" w:eastAsia="宋体"/>
                <w:b w:val="0"/>
                <w:sz w:val="18"/>
              </w:rPr>
              <w:t>4</w:t>
            </w:r>
          </w:p>
        </w:tc>
        <w:tc>
          <w:tcPr>
            <w:tcW w:type="dxa" w:w="2880"/>
          </w:tcPr>
          <w:p>
            <w:r/>
            <w:r>
              <w:rPr>
                <w:rFonts w:ascii="Times New Roman" w:hAnsi="Times New Roman" w:eastAsia="宋体"/>
                <w:b w:val="0"/>
                <w:sz w:val="18"/>
              </w:rPr>
              <w:t>用药_甲氧氯普胺注射液</w:t>
            </w:r>
          </w:p>
        </w:tc>
        <w:tc>
          <w:tcPr>
            <w:tcW w:type="dxa" w:w="2880"/>
          </w:tcPr>
          <w:p>
            <w:r/>
            <w:r>
              <w:rPr>
                <w:rFonts w:ascii="Times New Roman" w:hAnsi="Times New Roman" w:eastAsia="宋体"/>
                <w:b w:val="0"/>
                <w:sz w:val="18"/>
              </w:rPr>
              <w:t>0.031</w:t>
            </w:r>
          </w:p>
        </w:tc>
      </w:tr>
      <w:tr>
        <w:tc>
          <w:tcPr>
            <w:tcW w:type="dxa" w:w="2880"/>
          </w:tcPr>
          <w:p>
            <w:r/>
            <w:r>
              <w:rPr>
                <w:rFonts w:ascii="Times New Roman" w:hAnsi="Times New Roman" w:eastAsia="宋体"/>
                <w:b w:val="0"/>
                <w:sz w:val="18"/>
              </w:rPr>
              <w:t>5</w:t>
            </w:r>
          </w:p>
        </w:tc>
        <w:tc>
          <w:tcPr>
            <w:tcW w:type="dxa" w:w="2880"/>
          </w:tcPr>
          <w:p>
            <w:r/>
            <w:r>
              <w:rPr>
                <w:rFonts w:ascii="Times New Roman" w:hAnsi="Times New Roman" w:eastAsia="宋体"/>
                <w:b w:val="0"/>
                <w:sz w:val="18"/>
              </w:rPr>
              <w:t>用药_葡萄糖测定</w:t>
            </w:r>
          </w:p>
        </w:tc>
        <w:tc>
          <w:tcPr>
            <w:tcW w:type="dxa" w:w="2880"/>
          </w:tcPr>
          <w:p>
            <w:r/>
            <w:r>
              <w:rPr>
                <w:rFonts w:ascii="Times New Roman" w:hAnsi="Times New Roman" w:eastAsia="宋体"/>
                <w:b w:val="0"/>
                <w:sz w:val="18"/>
              </w:rPr>
              <w:t>0.029</w:t>
            </w:r>
          </w:p>
        </w:tc>
      </w:tr>
      <w:tr>
        <w:tc>
          <w:tcPr>
            <w:tcW w:type="dxa" w:w="2880"/>
          </w:tcPr>
          <w:p>
            <w:r/>
            <w:r>
              <w:rPr>
                <w:rFonts w:ascii="Times New Roman" w:hAnsi="Times New Roman" w:eastAsia="宋体"/>
                <w:b w:val="0"/>
                <w:sz w:val="18"/>
              </w:rPr>
              <w:t>6</w:t>
            </w:r>
          </w:p>
        </w:tc>
        <w:tc>
          <w:tcPr>
            <w:tcW w:type="dxa" w:w="2880"/>
          </w:tcPr>
          <w:p>
            <w:r/>
            <w:r>
              <w:rPr>
                <w:rFonts w:ascii="Times New Roman" w:hAnsi="Times New Roman" w:eastAsia="宋体"/>
                <w:b w:val="0"/>
                <w:sz w:val="18"/>
              </w:rPr>
              <w:t>诊断_冠状动脉粥样硬化性心脏病</w:t>
            </w:r>
          </w:p>
        </w:tc>
        <w:tc>
          <w:tcPr>
            <w:tcW w:type="dxa" w:w="2880"/>
          </w:tcPr>
          <w:p>
            <w:r/>
            <w:r>
              <w:rPr>
                <w:rFonts w:ascii="Times New Roman" w:hAnsi="Times New Roman" w:eastAsia="宋体"/>
                <w:b w:val="0"/>
                <w:sz w:val="18"/>
              </w:rPr>
              <w:t>0.029</w:t>
            </w:r>
          </w:p>
        </w:tc>
      </w:tr>
      <w:tr>
        <w:tc>
          <w:tcPr>
            <w:tcW w:type="dxa" w:w="2880"/>
          </w:tcPr>
          <w:p>
            <w:r/>
            <w:r>
              <w:rPr>
                <w:rFonts w:ascii="Times New Roman" w:hAnsi="Times New Roman" w:eastAsia="宋体"/>
                <w:b w:val="0"/>
                <w:sz w:val="18"/>
              </w:rPr>
              <w:t>7</w:t>
            </w:r>
          </w:p>
        </w:tc>
        <w:tc>
          <w:tcPr>
            <w:tcW w:type="dxa" w:w="2880"/>
          </w:tcPr>
          <w:p>
            <w:r/>
            <w:r>
              <w:rPr>
                <w:rFonts w:ascii="Times New Roman" w:hAnsi="Times New Roman" w:eastAsia="宋体"/>
                <w:b w:val="0"/>
                <w:sz w:val="18"/>
              </w:rPr>
              <w:t>用药_参芪扶正注射液</w:t>
            </w:r>
          </w:p>
        </w:tc>
        <w:tc>
          <w:tcPr>
            <w:tcW w:type="dxa" w:w="2880"/>
          </w:tcPr>
          <w:p>
            <w:r/>
            <w:r>
              <w:rPr>
                <w:rFonts w:ascii="Times New Roman" w:hAnsi="Times New Roman" w:eastAsia="宋体"/>
                <w:b w:val="0"/>
                <w:sz w:val="18"/>
              </w:rPr>
              <w:t>0.028</w:t>
            </w:r>
          </w:p>
        </w:tc>
      </w:tr>
      <w:tr>
        <w:tc>
          <w:tcPr>
            <w:tcW w:type="dxa" w:w="2880"/>
          </w:tcPr>
          <w:p>
            <w:r/>
            <w:r>
              <w:rPr>
                <w:rFonts w:ascii="Times New Roman" w:hAnsi="Times New Roman" w:eastAsia="宋体"/>
                <w:b w:val="0"/>
                <w:sz w:val="18"/>
              </w:rPr>
              <w:t>8</w:t>
            </w:r>
          </w:p>
        </w:tc>
        <w:tc>
          <w:tcPr>
            <w:tcW w:type="dxa" w:w="2880"/>
          </w:tcPr>
          <w:p>
            <w:r/>
            <w:r>
              <w:rPr>
                <w:rFonts w:ascii="Times New Roman" w:hAnsi="Times New Roman" w:eastAsia="宋体"/>
                <w:b w:val="0"/>
                <w:sz w:val="18"/>
              </w:rPr>
              <w:t>用药_5%葡萄糖注射液</w:t>
            </w:r>
          </w:p>
        </w:tc>
        <w:tc>
          <w:tcPr>
            <w:tcW w:type="dxa" w:w="2880"/>
          </w:tcPr>
          <w:p>
            <w:r/>
            <w:r>
              <w:rPr>
                <w:rFonts w:ascii="Times New Roman" w:hAnsi="Times New Roman" w:eastAsia="宋体"/>
                <w:b w:val="0"/>
                <w:sz w:val="18"/>
              </w:rPr>
              <w:t>0.027</w:t>
            </w:r>
          </w:p>
        </w:tc>
      </w:tr>
      <w:tr>
        <w:tc>
          <w:tcPr>
            <w:tcW w:type="dxa" w:w="2880"/>
          </w:tcPr>
          <w:p>
            <w:r/>
            <w:r>
              <w:rPr>
                <w:rFonts w:ascii="Times New Roman" w:hAnsi="Times New Roman" w:eastAsia="宋体"/>
                <w:b w:val="0"/>
                <w:sz w:val="18"/>
              </w:rPr>
              <w:t>9</w:t>
            </w:r>
          </w:p>
        </w:tc>
        <w:tc>
          <w:tcPr>
            <w:tcW w:type="dxa" w:w="2880"/>
          </w:tcPr>
          <w:p>
            <w:r/>
            <w:r>
              <w:rPr>
                <w:rFonts w:ascii="Times New Roman" w:hAnsi="Times New Roman" w:eastAsia="宋体"/>
                <w:b w:val="0"/>
                <w:sz w:val="18"/>
              </w:rPr>
              <w:t>诊断_高血压</w:t>
            </w:r>
          </w:p>
        </w:tc>
        <w:tc>
          <w:tcPr>
            <w:tcW w:type="dxa" w:w="2880"/>
          </w:tcPr>
          <w:p>
            <w:r/>
            <w:r>
              <w:rPr>
                <w:rFonts w:ascii="Times New Roman" w:hAnsi="Times New Roman" w:eastAsia="宋体"/>
                <w:b w:val="0"/>
                <w:sz w:val="18"/>
              </w:rPr>
              <w:t>0.025</w:t>
            </w:r>
          </w:p>
        </w:tc>
      </w:tr>
      <w:tr>
        <w:tc>
          <w:tcPr>
            <w:tcW w:type="dxa" w:w="2880"/>
          </w:tcPr>
          <w:p>
            <w:r/>
            <w:r>
              <w:rPr>
                <w:rFonts w:ascii="Times New Roman" w:hAnsi="Times New Roman" w:eastAsia="宋体"/>
                <w:b w:val="0"/>
                <w:sz w:val="18"/>
              </w:rPr>
              <w:t>10</w:t>
            </w:r>
          </w:p>
        </w:tc>
        <w:tc>
          <w:tcPr>
            <w:tcW w:type="dxa" w:w="2880"/>
          </w:tcPr>
          <w:p>
            <w:r/>
            <w:r>
              <w:rPr>
                <w:rFonts w:ascii="Times New Roman" w:hAnsi="Times New Roman" w:eastAsia="宋体"/>
                <w:b w:val="0"/>
                <w:sz w:val="18"/>
              </w:rPr>
              <w:t>诊断_肺部感染</w:t>
            </w:r>
          </w:p>
        </w:tc>
        <w:tc>
          <w:tcPr>
            <w:tcW w:type="dxa" w:w="2880"/>
          </w:tcPr>
          <w:p>
            <w:r/>
            <w:r>
              <w:rPr>
                <w:rFonts w:ascii="Times New Roman" w:hAnsi="Times New Roman" w:eastAsia="宋体"/>
                <w:b w:val="0"/>
                <w:sz w:val="18"/>
              </w:rPr>
              <w:t>0.025</w:t>
            </w:r>
          </w:p>
        </w:tc>
      </w:tr>
    </w:tbl>
    <w:p>
      <w:pPr>
        <w:spacing w:line="360" w:lineRule="auto"/>
        <w:ind w:firstLine="480"/>
      </w:pPr>
      <w:r>
        <w:rPr>
          <w:rFonts w:ascii="Times New Roman" w:hAnsi="Times New Roman" w:eastAsia="宋体"/>
          <w:b w:val="0"/>
          <w:sz w:val="24"/>
        </w:rPr>
        <w:t>补充分析中，以再入院为目标变量重新训练随机森林模型（13 743样本、62特征），重要性最高的三个特征为：`age_years`（0.178）、用药_葡萄糖测定（0.026）、用药_地塞米松注射液（0.024），后续特征重要性递减，整体分布较为平缓。</w:t>
      </w:r>
    </w:p>
    <w:p>
      <w:pPr>
        <w:spacing w:line="360" w:lineRule="auto"/>
        <w:ind w:firstLine="480"/>
      </w:pPr>
      <w:r>
        <w:rPr>
          <w:rFonts w:ascii="Times New Roman" w:hAnsi="Times New Roman" w:eastAsia="宋体"/>
          <w:b/>
          <w:sz w:val="24"/>
        </w:rPr>
        <w:t>特征重要性解读</w:t>
      </w:r>
      <w:r>
        <w:rPr>
          <w:rFonts w:ascii="Times New Roman" w:hAnsi="Times New Roman" w:eastAsia="宋体"/>
          <w:b w:val="0"/>
          <w:sz w:val="24"/>
        </w:rPr>
        <w:t>：年龄是再入院预测中贡献最突出的单一特征，其重要性远超其他特征。用药类特征（中药熏洗治疗、地塞米松注射液、甲氧氯普胺注射液等）与诊断类特征（冠状动脉粥样硬化性心脏病、高血压、肺部感染）的重要性相对接近，提示再入院风险可能受多因素共同影响。诊断类特征中，冠状动脉粥样硬化性心脏病、高血压、肺部感染进入前列，与疾病共现网络中的高频共现结果相互印证。需强调，特征重要性反映的是特征对预测判别的贡献程度，不代表因果关系；且本分析未对疾病分期、治疗线数等潜在混杂因素进行校正，上述关联可能受残余混杂影响。</w:t>
      </w:r>
    </w:p>
    <w:p>
      <w:pPr>
        <w:jc w:val="center"/>
      </w:pPr>
      <w:r>
        <w:rPr>
          <w:rFonts w:ascii="Times New Roman" w:hAnsi="Times New Roman" w:eastAsia="黑体"/>
          <w:b w:val="0"/>
          <w:sz w:val="20"/>
        </w:rPr>
        <w:t>共现强度最高的疾病对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疾病A</w:t>
            </w:r>
          </w:p>
        </w:tc>
        <w:tc>
          <w:tcPr>
            <w:tcW w:type="dxa" w:w="2880"/>
          </w:tcPr>
          <w:p>
            <w:r/>
            <w:r>
              <w:rPr>
                <w:rFonts w:ascii="Times New Roman" w:hAnsi="Times New Roman" w:eastAsia="黑体"/>
                <w:b/>
                <w:sz w:val="18"/>
              </w:rPr>
              <w:t>疾病B</w:t>
            </w:r>
          </w:p>
        </w:tc>
        <w:tc>
          <w:tcPr>
            <w:tcW w:type="dxa" w:w="2880"/>
          </w:tcPr>
          <w:p>
            <w:r/>
            <w:r>
              <w:rPr>
                <w:rFonts w:ascii="Times New Roman" w:hAnsi="Times New Roman" w:eastAsia="黑体"/>
                <w:b/>
                <w:sz w:val="18"/>
              </w:rPr>
              <w:t>共现就诊数</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1184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827</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625</w:t>
            </w:r>
          </w:p>
        </w:tc>
      </w:tr>
      <w:tr>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624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585</w:t>
            </w:r>
          </w:p>
        </w:tc>
      </w:tr>
      <w:tr>
        <w:tc>
          <w:tcPr>
            <w:tcW w:type="dxa" w:w="2880"/>
          </w:tcPr>
          <w:p>
            <w:r/>
            <w:r>
              <w:rPr>
                <w:rFonts w:ascii="Times New Roman" w:hAnsi="Times New Roman" w:eastAsia="宋体"/>
                <w:b w:val="0"/>
                <w:sz w:val="18"/>
              </w:rPr>
              <w:t>肺大疱</w:t>
            </w:r>
          </w:p>
        </w:tc>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561</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脑梗死</w:t>
            </w:r>
          </w:p>
        </w:tc>
        <w:tc>
          <w:tcPr>
            <w:tcW w:type="dxa" w:w="2880"/>
          </w:tcPr>
          <w:p>
            <w:r/>
            <w:r>
              <w:rPr>
                <w:rFonts w:ascii="Times New Roman" w:hAnsi="Times New Roman" w:eastAsia="宋体"/>
                <w:b w:val="0"/>
                <w:sz w:val="18"/>
              </w:rPr>
              <w:t>536</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457</w:t>
            </w:r>
          </w:p>
        </w:tc>
      </w:tr>
      <w:tr>
        <w:tc>
          <w:tcPr>
            <w:tcW w:type="dxa" w:w="2880"/>
          </w:tcPr>
          <w:p>
            <w:r/>
            <w:r>
              <w:rPr>
                <w:rFonts w:ascii="Times New Roman" w:hAnsi="Times New Roman" w:eastAsia="宋体"/>
                <w:b w:val="0"/>
                <w:sz w:val="18"/>
              </w:rPr>
              <w:t>糖尿病</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446</w:t>
            </w:r>
          </w:p>
        </w:tc>
      </w:tr>
      <w:tr>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445</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434</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恶性肿瘤终末期维持治疗</w:t>
            </w:r>
          </w:p>
        </w:tc>
        <w:tc>
          <w:tcPr>
            <w:tcW w:type="dxa" w:w="2880"/>
          </w:tcPr>
          <w:p>
            <w:r/>
            <w:r>
              <w:rPr>
                <w:rFonts w:ascii="Times New Roman" w:hAnsi="Times New Roman" w:eastAsia="宋体"/>
                <w:b w:val="0"/>
                <w:sz w:val="18"/>
              </w:rPr>
              <w:t>404</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高血压</w:t>
            </w:r>
          </w:p>
        </w:tc>
        <w:tc>
          <w:tcPr>
            <w:tcW w:type="dxa" w:w="2880"/>
          </w:tcPr>
          <w:p>
            <w:r/>
            <w:r>
              <w:rPr>
                <w:rFonts w:ascii="Times New Roman" w:hAnsi="Times New Roman" w:eastAsia="宋体"/>
                <w:b w:val="0"/>
                <w:sz w:val="18"/>
              </w:rPr>
              <w:t>376</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淋巴结继发恶性肿瘤</w:t>
            </w:r>
          </w:p>
        </w:tc>
        <w:tc>
          <w:tcPr>
            <w:tcW w:type="dxa" w:w="2880"/>
          </w:tcPr>
          <w:p>
            <w:r/>
            <w:r>
              <w:rPr>
                <w:rFonts w:ascii="Times New Roman" w:hAnsi="Times New Roman" w:eastAsia="宋体"/>
                <w:b w:val="0"/>
                <w:sz w:val="18"/>
              </w:rPr>
              <w:t>367</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左肺恶性肿瘤</w:t>
            </w:r>
          </w:p>
        </w:tc>
        <w:tc>
          <w:tcPr>
            <w:tcW w:type="dxa" w:w="2880"/>
          </w:tcPr>
          <w:p>
            <w:r/>
            <w:r>
              <w:rPr>
                <w:rFonts w:ascii="Times New Roman" w:hAnsi="Times New Roman" w:eastAsia="宋体"/>
                <w:b w:val="0"/>
                <w:sz w:val="18"/>
              </w:rPr>
              <w:t>359</w:t>
            </w:r>
          </w:p>
        </w:tc>
      </w:tr>
      <w:tr>
        <w:tc>
          <w:tcPr>
            <w:tcW w:type="dxa" w:w="2880"/>
          </w:tcPr>
          <w:p>
            <w:r/>
            <w:r>
              <w:rPr>
                <w:rFonts w:ascii="Times New Roman" w:hAnsi="Times New Roman" w:eastAsia="宋体"/>
                <w:b w:val="0"/>
                <w:sz w:val="18"/>
              </w:rPr>
              <w:t>肺气肿</w:t>
            </w:r>
          </w:p>
        </w:tc>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341</w:t>
            </w:r>
          </w:p>
        </w:tc>
      </w:tr>
      <w:tr>
        <w:tc>
          <w:tcPr>
            <w:tcW w:type="dxa" w:w="2880"/>
          </w:tcPr>
          <w:p>
            <w:r/>
            <w:r>
              <w:rPr>
                <w:rFonts w:ascii="Times New Roman" w:hAnsi="Times New Roman" w:eastAsia="宋体"/>
                <w:b w:val="0"/>
                <w:sz w:val="18"/>
              </w:rPr>
              <w:t>肺恶性肿瘤</w:t>
            </w:r>
          </w:p>
        </w:tc>
        <w:tc>
          <w:tcPr>
            <w:tcW w:type="dxa" w:w="2880"/>
          </w:tcPr>
          <w:p>
            <w:r/>
            <w:r>
              <w:rPr>
                <w:rFonts w:ascii="Times New Roman" w:hAnsi="Times New Roman" w:eastAsia="宋体"/>
                <w:b w:val="0"/>
                <w:sz w:val="18"/>
              </w:rPr>
              <w:t>骨继发恶性肿瘤</w:t>
            </w:r>
          </w:p>
        </w:tc>
        <w:tc>
          <w:tcPr>
            <w:tcW w:type="dxa" w:w="2880"/>
          </w:tcPr>
          <w:p>
            <w:r/>
            <w:r>
              <w:rPr>
                <w:rFonts w:ascii="Times New Roman" w:hAnsi="Times New Roman" w:eastAsia="宋体"/>
                <w:b w:val="0"/>
                <w:sz w:val="18"/>
              </w:rPr>
              <w:t>333</w:t>
            </w:r>
          </w:p>
        </w:tc>
      </w:tr>
      <w:tr>
        <w:tc>
          <w:tcPr>
            <w:tcW w:type="dxa" w:w="2880"/>
          </w:tcPr>
          <w:p>
            <w:r/>
            <w:r>
              <w:rPr>
                <w:rFonts w:ascii="Times New Roman" w:hAnsi="Times New Roman" w:eastAsia="宋体"/>
                <w:b w:val="0"/>
                <w:sz w:val="18"/>
              </w:rPr>
              <w:t>肺部感染</w:t>
            </w:r>
          </w:p>
        </w:tc>
        <w:tc>
          <w:tcPr>
            <w:tcW w:type="dxa" w:w="2880"/>
          </w:tcPr>
          <w:p>
            <w:r/>
            <w:r>
              <w:rPr>
                <w:rFonts w:ascii="Times New Roman" w:hAnsi="Times New Roman" w:eastAsia="宋体"/>
                <w:b w:val="0"/>
                <w:sz w:val="18"/>
              </w:rPr>
              <w:t>胸腔积液</w:t>
            </w:r>
          </w:p>
        </w:tc>
        <w:tc>
          <w:tcPr>
            <w:tcW w:type="dxa" w:w="2880"/>
          </w:tcPr>
          <w:p>
            <w:r/>
            <w:r>
              <w:rPr>
                <w:rFonts w:ascii="Times New Roman" w:hAnsi="Times New Roman" w:eastAsia="宋体"/>
                <w:b w:val="0"/>
                <w:sz w:val="18"/>
              </w:rPr>
              <w:t>327</w:t>
            </w:r>
          </w:p>
        </w:tc>
      </w:tr>
      <w:tr>
        <w:tc>
          <w:tcPr>
            <w:tcW w:type="dxa" w:w="2880"/>
          </w:tcPr>
          <w:p>
            <w:r/>
            <w:r>
              <w:rPr>
                <w:rFonts w:ascii="Times New Roman" w:hAnsi="Times New Roman" w:eastAsia="宋体"/>
                <w:b w:val="0"/>
                <w:sz w:val="18"/>
              </w:rPr>
              <w:t>慢性乙型病毒性肝炎</w:t>
            </w:r>
          </w:p>
        </w:tc>
        <w:tc>
          <w:tcPr>
            <w:tcW w:type="dxa" w:w="2880"/>
          </w:tcPr>
          <w:p>
            <w:r/>
            <w:r>
              <w:rPr>
                <w:rFonts w:ascii="Times New Roman" w:hAnsi="Times New Roman" w:eastAsia="宋体"/>
                <w:b w:val="0"/>
                <w:sz w:val="18"/>
              </w:rPr>
              <w:t>肝恶性肿瘤</w:t>
            </w:r>
          </w:p>
        </w:tc>
        <w:tc>
          <w:tcPr>
            <w:tcW w:type="dxa" w:w="2880"/>
          </w:tcPr>
          <w:p>
            <w:r/>
            <w:r>
              <w:rPr>
                <w:rFonts w:ascii="Times New Roman" w:hAnsi="Times New Roman" w:eastAsia="宋体"/>
                <w:b w:val="0"/>
                <w:sz w:val="18"/>
              </w:rPr>
              <w:t>315</w:t>
            </w:r>
          </w:p>
        </w:tc>
      </w:tr>
      <w:tr>
        <w:tc>
          <w:tcPr>
            <w:tcW w:type="dxa" w:w="2880"/>
          </w:tcPr>
          <w:p>
            <w:r/>
            <w:r>
              <w:rPr>
                <w:rFonts w:ascii="Times New Roman" w:hAnsi="Times New Roman" w:eastAsia="宋体"/>
                <w:b w:val="0"/>
                <w:sz w:val="18"/>
              </w:rPr>
              <w:t>冠状动脉粥样硬化性心脏病</w:t>
            </w:r>
          </w:p>
        </w:tc>
        <w:tc>
          <w:tcPr>
            <w:tcW w:type="dxa" w:w="2880"/>
          </w:tcPr>
          <w:p>
            <w:r/>
            <w:r>
              <w:rPr>
                <w:rFonts w:ascii="Times New Roman" w:hAnsi="Times New Roman" w:eastAsia="宋体"/>
                <w:b w:val="0"/>
                <w:sz w:val="18"/>
              </w:rPr>
              <w:t>食管恶性肿瘤</w:t>
            </w:r>
          </w:p>
        </w:tc>
        <w:tc>
          <w:tcPr>
            <w:tcW w:type="dxa" w:w="2880"/>
          </w:tcPr>
          <w:p>
            <w:r/>
            <w:r>
              <w:rPr>
                <w:rFonts w:ascii="Times New Roman" w:hAnsi="Times New Roman" w:eastAsia="宋体"/>
                <w:b w:val="0"/>
                <w:sz w:val="18"/>
              </w:rPr>
              <w:t>311</w:t>
            </w:r>
          </w:p>
        </w:tc>
      </w:tr>
    </w:tbl>
    <w:p>
      <w:pPr>
        <w:jc w:val="center"/>
      </w:pPr>
      <w:r>
        <w:rPr>
          <w:rFonts w:ascii="Times New Roman" w:hAnsi="Times New Roman" w:eastAsia="黑体"/>
          <w:b w:val="0"/>
          <w:sz w:val="20"/>
        </w:rPr>
        <w:t>模型性能对比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模型</w:t>
            </w:r>
          </w:p>
        </w:tc>
        <w:tc>
          <w:tcPr>
            <w:tcW w:type="dxa" w:w="2880"/>
          </w:tcPr>
          <w:p>
            <w:r/>
            <w:r>
              <w:rPr>
                <w:rFonts w:ascii="Times New Roman" w:hAnsi="Times New Roman" w:eastAsia="黑体"/>
                <w:b/>
                <w:sz w:val="18"/>
              </w:rPr>
              <w:t>Accuracy</w:t>
            </w:r>
          </w:p>
        </w:tc>
        <w:tc>
          <w:tcPr>
            <w:tcW w:type="dxa" w:w="2880"/>
          </w:tcPr>
          <w:p>
            <w:r/>
            <w:r>
              <w:rPr>
                <w:rFonts w:ascii="Times New Roman" w:hAnsi="Times New Roman" w:eastAsia="黑体"/>
                <w:b/>
                <w:sz w:val="18"/>
              </w:rPr>
              <w:t>AUC</w:t>
            </w:r>
          </w:p>
        </w:tc>
      </w:tr>
      <w:tr>
        <w:tc>
          <w:tcPr>
            <w:tcW w:type="dxa" w:w="2880"/>
          </w:tcPr>
          <w:p>
            <w:r/>
            <w:r>
              <w:rPr>
                <w:rFonts w:ascii="Times New Roman" w:hAnsi="Times New Roman" w:eastAsia="宋体"/>
                <w:b w:val="0"/>
                <w:sz w:val="18"/>
              </w:rPr>
              <w:t>LogisticRegression</w:t>
            </w:r>
          </w:p>
        </w:tc>
        <w:tc>
          <w:tcPr>
            <w:tcW w:type="dxa" w:w="2880"/>
          </w:tcPr>
          <w:p>
            <w:r/>
            <w:r>
              <w:rPr>
                <w:rFonts w:ascii="Times New Roman" w:hAnsi="Times New Roman" w:eastAsia="宋体"/>
                <w:b w:val="0"/>
                <w:sz w:val="18"/>
              </w:rPr>
              <w:t>0.841</w:t>
            </w:r>
          </w:p>
        </w:tc>
        <w:tc>
          <w:tcPr>
            <w:tcW w:type="dxa" w:w="2880"/>
          </w:tcPr>
          <w:p>
            <w:r/>
            <w:r>
              <w:rPr>
                <w:rFonts w:ascii="Times New Roman" w:hAnsi="Times New Roman" w:eastAsia="宋体"/>
                <w:b w:val="0"/>
                <w:sz w:val="18"/>
              </w:rPr>
              <w:t>0.686</w:t>
            </w:r>
          </w:p>
        </w:tc>
      </w:tr>
      <w:tr>
        <w:tc>
          <w:tcPr>
            <w:tcW w:type="dxa" w:w="2880"/>
          </w:tcPr>
          <w:p>
            <w:r/>
            <w:r>
              <w:rPr>
                <w:rFonts w:ascii="Times New Roman" w:hAnsi="Times New Roman" w:eastAsia="宋体"/>
                <w:b w:val="0"/>
                <w:sz w:val="18"/>
              </w:rPr>
              <w:t>RandomForest</w:t>
            </w:r>
          </w:p>
        </w:tc>
        <w:tc>
          <w:tcPr>
            <w:tcW w:type="dxa" w:w="2880"/>
          </w:tcPr>
          <w:p>
            <w:r/>
            <w:r>
              <w:rPr>
                <w:rFonts w:ascii="Times New Roman" w:hAnsi="Times New Roman" w:eastAsia="宋体"/>
                <w:b w:val="0"/>
                <w:sz w:val="18"/>
              </w:rPr>
              <w:t>0.835</w:t>
            </w:r>
          </w:p>
        </w:tc>
        <w:tc>
          <w:tcPr>
            <w:tcW w:type="dxa" w:w="2880"/>
          </w:tcPr>
          <w:p>
            <w:r/>
            <w:r>
              <w:rPr>
                <w:rFonts w:ascii="Times New Roman" w:hAnsi="Times New Roman" w:eastAsia="宋体"/>
                <w:b w:val="0"/>
                <w:sz w:val="18"/>
              </w:rPr>
              <w:t>0.702</w:t>
            </w:r>
          </w:p>
        </w:tc>
      </w:tr>
    </w:tbl>
    <w:p>
      <w:pPr>
        <w:jc w:val="center"/>
      </w:pPr>
      <w:r>
        <w:rPr>
          <w:rFonts w:ascii="Times New Roman" w:hAnsi="Times New Roman" w:eastAsia="黑体"/>
          <w:b w:val="0"/>
          <w:sz w:val="20"/>
        </w:rPr>
        <w:t>RandomForest 混淆矩阵</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r>
          </w:p>
        </w:tc>
        <w:tc>
          <w:tcPr>
            <w:tcW w:type="dxa" w:w="2880"/>
          </w:tcPr>
          <w:p>
            <w:r/>
            <w:r>
              <w:rPr>
                <w:rFonts w:ascii="Times New Roman" w:hAnsi="Times New Roman" w:eastAsia="黑体"/>
                <w:b/>
                <w:sz w:val="18"/>
              </w:rPr>
              <w:t>预测0</w:t>
            </w:r>
          </w:p>
        </w:tc>
        <w:tc>
          <w:tcPr>
            <w:tcW w:type="dxa" w:w="2880"/>
          </w:tcPr>
          <w:p>
            <w:r/>
            <w:r>
              <w:rPr>
                <w:rFonts w:ascii="Times New Roman" w:hAnsi="Times New Roman" w:eastAsia="黑体"/>
                <w:b/>
                <w:sz w:val="18"/>
              </w:rPr>
              <w:t>预测1</w:t>
            </w:r>
          </w:p>
        </w:tc>
      </w:tr>
      <w:tr>
        <w:tc>
          <w:tcPr>
            <w:tcW w:type="dxa" w:w="2880"/>
          </w:tcPr>
          <w:p>
            <w:r/>
            <w:r>
              <w:rPr>
                <w:rFonts w:ascii="Times New Roman" w:hAnsi="Times New Roman" w:eastAsia="宋体"/>
                <w:b w:val="0"/>
                <w:sz w:val="18"/>
              </w:rPr>
              <w:t>实际0</w:t>
            </w:r>
          </w:p>
        </w:tc>
        <w:tc>
          <w:tcPr>
            <w:tcW w:type="dxa" w:w="2880"/>
          </w:tcPr>
          <w:p>
            <w:r/>
            <w:r>
              <w:rPr>
                <w:rFonts w:ascii="Times New Roman" w:hAnsi="Times New Roman" w:eastAsia="宋体"/>
                <w:b w:val="0"/>
                <w:sz w:val="18"/>
              </w:rPr>
              <w:t>62</w:t>
            </w:r>
          </w:p>
        </w:tc>
        <w:tc>
          <w:tcPr>
            <w:tcW w:type="dxa" w:w="2880"/>
          </w:tcPr>
          <w:p>
            <w:r/>
            <w:r>
              <w:rPr>
                <w:rFonts w:ascii="Times New Roman" w:hAnsi="Times New Roman" w:eastAsia="宋体"/>
                <w:b w:val="0"/>
                <w:sz w:val="18"/>
              </w:rPr>
              <w:t>595</w:t>
            </w:r>
          </w:p>
        </w:tc>
      </w:tr>
      <w:tr>
        <w:tc>
          <w:tcPr>
            <w:tcW w:type="dxa" w:w="2880"/>
          </w:tcPr>
          <w:p>
            <w:r/>
            <w:r>
              <w:rPr>
                <w:rFonts w:ascii="Times New Roman" w:hAnsi="Times New Roman" w:eastAsia="宋体"/>
                <w:b w:val="0"/>
                <w:sz w:val="18"/>
              </w:rPr>
              <w:t>实际1</w:t>
            </w:r>
          </w:p>
        </w:tc>
        <w:tc>
          <w:tcPr>
            <w:tcW w:type="dxa" w:w="2880"/>
          </w:tcPr>
          <w:p>
            <w:r/>
            <w:r>
              <w:rPr>
                <w:rFonts w:ascii="Times New Roman" w:hAnsi="Times New Roman" w:eastAsia="宋体"/>
                <w:b w:val="0"/>
                <w:sz w:val="18"/>
              </w:rPr>
              <w:t>87</w:t>
            </w:r>
          </w:p>
        </w:tc>
        <w:tc>
          <w:tcPr>
            <w:tcW w:type="dxa" w:w="2880"/>
          </w:tcPr>
          <w:p>
            <w:r/>
            <w:r>
              <w:rPr>
                <w:rFonts w:ascii="Times New Roman" w:hAnsi="Times New Roman" w:eastAsia="宋体"/>
                <w:b w:val="0"/>
                <w:sz w:val="18"/>
              </w:rPr>
              <w:t>3379</w:t>
            </w:r>
          </w:p>
        </w:tc>
      </w:tr>
    </w:tbl>
    <w:p>
      <w:pPr>
        <w:jc w:val="center"/>
      </w:pPr>
      <w:r>
        <w:rPr>
          <w:rFonts w:ascii="Times New Roman" w:hAnsi="Times New Roman" w:eastAsia="黑体"/>
          <w:b w:val="0"/>
          <w:sz w:val="20"/>
        </w:rPr>
        <w:t>特征重要性 Top15</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黑体"/>
                <w:b/>
                <w:sz w:val="18"/>
              </w:rPr>
              <w:t>特征</w:t>
            </w:r>
          </w:p>
        </w:tc>
        <w:tc>
          <w:tcPr>
            <w:tcW w:type="dxa" w:w="4320"/>
          </w:tcPr>
          <w:p>
            <w:r/>
            <w:r>
              <w:rPr>
                <w:rFonts w:ascii="Times New Roman" w:hAnsi="Times New Roman" w:eastAsia="黑体"/>
                <w:b/>
                <w:sz w:val="18"/>
              </w:rPr>
              <w:t>重要性</w:t>
            </w:r>
          </w:p>
        </w:tc>
      </w:tr>
      <w:tr>
        <w:tc>
          <w:tcPr>
            <w:tcW w:type="dxa" w:w="4320"/>
          </w:tcPr>
          <w:p>
            <w:r/>
            <w:r>
              <w:rPr>
                <w:rFonts w:ascii="Times New Roman" w:hAnsi="Times New Roman" w:eastAsia="宋体"/>
                <w:b w:val="0"/>
                <w:sz w:val="18"/>
              </w:rPr>
              <w:t>age_years</w:t>
            </w:r>
          </w:p>
        </w:tc>
        <w:tc>
          <w:tcPr>
            <w:tcW w:type="dxa" w:w="4320"/>
          </w:tcPr>
          <w:p>
            <w:r/>
            <w:r>
              <w:rPr>
                <w:rFonts w:ascii="Times New Roman" w:hAnsi="Times New Roman" w:eastAsia="宋体"/>
                <w:b w:val="0"/>
                <w:sz w:val="18"/>
              </w:rPr>
              <w:t>0.2582</w:t>
            </w:r>
          </w:p>
        </w:tc>
      </w:tr>
      <w:tr>
        <w:tc>
          <w:tcPr>
            <w:tcW w:type="dxa" w:w="4320"/>
          </w:tcPr>
          <w:p>
            <w:r/>
            <w:r>
              <w:rPr>
                <w:rFonts w:ascii="Times New Roman" w:hAnsi="Times New Roman" w:eastAsia="宋体"/>
                <w:b w:val="0"/>
                <w:sz w:val="18"/>
              </w:rPr>
              <w:t>用药_中药熏洗治疗</w:t>
            </w:r>
          </w:p>
        </w:tc>
        <w:tc>
          <w:tcPr>
            <w:tcW w:type="dxa" w:w="4320"/>
          </w:tcPr>
          <w:p>
            <w:r/>
            <w:r>
              <w:rPr>
                <w:rFonts w:ascii="Times New Roman" w:hAnsi="Times New Roman" w:eastAsia="宋体"/>
                <w:b w:val="0"/>
                <w:sz w:val="18"/>
              </w:rPr>
              <w:t>0.0316</w:t>
            </w:r>
          </w:p>
        </w:tc>
      </w:tr>
      <w:tr>
        <w:tc>
          <w:tcPr>
            <w:tcW w:type="dxa" w:w="4320"/>
          </w:tcPr>
          <w:p>
            <w:r/>
            <w:r>
              <w:rPr>
                <w:rFonts w:ascii="Times New Roman" w:hAnsi="Times New Roman" w:eastAsia="宋体"/>
                <w:b w:val="0"/>
                <w:sz w:val="18"/>
              </w:rPr>
              <w:t>用药_地塞米松注射液</w:t>
            </w:r>
          </w:p>
        </w:tc>
        <w:tc>
          <w:tcPr>
            <w:tcW w:type="dxa" w:w="4320"/>
          </w:tcPr>
          <w:p>
            <w:r/>
            <w:r>
              <w:rPr>
                <w:rFonts w:ascii="Times New Roman" w:hAnsi="Times New Roman" w:eastAsia="宋体"/>
                <w:b w:val="0"/>
                <w:sz w:val="18"/>
              </w:rPr>
              <w:t>0.0309</w:t>
            </w:r>
          </w:p>
        </w:tc>
      </w:tr>
      <w:tr>
        <w:tc>
          <w:tcPr>
            <w:tcW w:type="dxa" w:w="4320"/>
          </w:tcPr>
          <w:p>
            <w:r/>
            <w:r>
              <w:rPr>
                <w:rFonts w:ascii="Times New Roman" w:hAnsi="Times New Roman" w:eastAsia="宋体"/>
                <w:b w:val="0"/>
                <w:sz w:val="18"/>
              </w:rPr>
              <w:t>用药_甲氧氯普胺注射液</w:t>
            </w:r>
          </w:p>
        </w:tc>
        <w:tc>
          <w:tcPr>
            <w:tcW w:type="dxa" w:w="4320"/>
          </w:tcPr>
          <w:p>
            <w:r/>
            <w:r>
              <w:rPr>
                <w:rFonts w:ascii="Times New Roman" w:hAnsi="Times New Roman" w:eastAsia="宋体"/>
                <w:b w:val="0"/>
                <w:sz w:val="18"/>
              </w:rPr>
              <w:t>0.0308</w:t>
            </w:r>
          </w:p>
        </w:tc>
      </w:tr>
      <w:tr>
        <w:tc>
          <w:tcPr>
            <w:tcW w:type="dxa" w:w="4320"/>
          </w:tcPr>
          <w:p>
            <w:r/>
            <w:r>
              <w:rPr>
                <w:rFonts w:ascii="Times New Roman" w:hAnsi="Times New Roman" w:eastAsia="宋体"/>
                <w:b w:val="0"/>
                <w:sz w:val="18"/>
              </w:rPr>
              <w:t>用药_葡萄糖测定</w:t>
            </w:r>
          </w:p>
        </w:tc>
        <w:tc>
          <w:tcPr>
            <w:tcW w:type="dxa" w:w="4320"/>
          </w:tcPr>
          <w:p>
            <w:r/>
            <w:r>
              <w:rPr>
                <w:rFonts w:ascii="Times New Roman" w:hAnsi="Times New Roman" w:eastAsia="宋体"/>
                <w:b w:val="0"/>
                <w:sz w:val="18"/>
              </w:rPr>
              <w:t>0.0291</w:t>
            </w:r>
          </w:p>
        </w:tc>
      </w:tr>
      <w:tr>
        <w:tc>
          <w:tcPr>
            <w:tcW w:type="dxa" w:w="4320"/>
          </w:tcPr>
          <w:p>
            <w:r/>
            <w:r>
              <w:rPr>
                <w:rFonts w:ascii="Times New Roman" w:hAnsi="Times New Roman" w:eastAsia="宋体"/>
                <w:b w:val="0"/>
                <w:sz w:val="18"/>
              </w:rPr>
              <w:t>诊断_冠状动脉粥样硬化性心脏病</w:t>
            </w:r>
          </w:p>
        </w:tc>
        <w:tc>
          <w:tcPr>
            <w:tcW w:type="dxa" w:w="4320"/>
          </w:tcPr>
          <w:p>
            <w:r/>
            <w:r>
              <w:rPr>
                <w:rFonts w:ascii="Times New Roman" w:hAnsi="Times New Roman" w:eastAsia="宋体"/>
                <w:b w:val="0"/>
                <w:sz w:val="18"/>
              </w:rPr>
              <w:t>0.0285</w:t>
            </w:r>
          </w:p>
        </w:tc>
      </w:tr>
      <w:tr>
        <w:tc>
          <w:tcPr>
            <w:tcW w:type="dxa" w:w="4320"/>
          </w:tcPr>
          <w:p>
            <w:r/>
            <w:r>
              <w:rPr>
                <w:rFonts w:ascii="Times New Roman" w:hAnsi="Times New Roman" w:eastAsia="宋体"/>
                <w:b w:val="0"/>
                <w:sz w:val="18"/>
              </w:rPr>
              <w:t>用药_参芪扶正注射液</w:t>
            </w:r>
          </w:p>
        </w:tc>
        <w:tc>
          <w:tcPr>
            <w:tcW w:type="dxa" w:w="4320"/>
          </w:tcPr>
          <w:p>
            <w:r/>
            <w:r>
              <w:rPr>
                <w:rFonts w:ascii="Times New Roman" w:hAnsi="Times New Roman" w:eastAsia="宋体"/>
                <w:b w:val="0"/>
                <w:sz w:val="18"/>
              </w:rPr>
              <w:t>0.0277</w:t>
            </w:r>
          </w:p>
        </w:tc>
      </w:tr>
      <w:tr>
        <w:tc>
          <w:tcPr>
            <w:tcW w:type="dxa" w:w="4320"/>
          </w:tcPr>
          <w:p>
            <w:r/>
            <w:r>
              <w:rPr>
                <w:rFonts w:ascii="Times New Roman" w:hAnsi="Times New Roman" w:eastAsia="宋体"/>
                <w:b w:val="0"/>
                <w:sz w:val="18"/>
              </w:rPr>
              <w:t>用药_5%葡萄糖注射液</w:t>
            </w:r>
          </w:p>
        </w:tc>
        <w:tc>
          <w:tcPr>
            <w:tcW w:type="dxa" w:w="4320"/>
          </w:tcPr>
          <w:p>
            <w:r/>
            <w:r>
              <w:rPr>
                <w:rFonts w:ascii="Times New Roman" w:hAnsi="Times New Roman" w:eastAsia="宋体"/>
                <w:b w:val="0"/>
                <w:sz w:val="18"/>
              </w:rPr>
              <w:t>0.0268</w:t>
            </w:r>
          </w:p>
        </w:tc>
      </w:tr>
      <w:tr>
        <w:tc>
          <w:tcPr>
            <w:tcW w:type="dxa" w:w="4320"/>
          </w:tcPr>
          <w:p>
            <w:r/>
            <w:r>
              <w:rPr>
                <w:rFonts w:ascii="Times New Roman" w:hAnsi="Times New Roman" w:eastAsia="宋体"/>
                <w:b w:val="0"/>
                <w:sz w:val="18"/>
              </w:rPr>
              <w:t>诊断_高血压</w:t>
            </w:r>
          </w:p>
        </w:tc>
        <w:tc>
          <w:tcPr>
            <w:tcW w:type="dxa" w:w="4320"/>
          </w:tcPr>
          <w:p>
            <w:r/>
            <w:r>
              <w:rPr>
                <w:rFonts w:ascii="Times New Roman" w:hAnsi="Times New Roman" w:eastAsia="宋体"/>
                <w:b w:val="0"/>
                <w:sz w:val="18"/>
              </w:rPr>
              <w:t>0.0252</w:t>
            </w:r>
          </w:p>
        </w:tc>
      </w:tr>
      <w:tr>
        <w:tc>
          <w:tcPr>
            <w:tcW w:type="dxa" w:w="4320"/>
          </w:tcPr>
          <w:p>
            <w:r/>
            <w:r>
              <w:rPr>
                <w:rFonts w:ascii="Times New Roman" w:hAnsi="Times New Roman" w:eastAsia="宋体"/>
                <w:b w:val="0"/>
                <w:sz w:val="18"/>
              </w:rPr>
              <w:t>诊断_肺部感染</w:t>
            </w:r>
          </w:p>
        </w:tc>
        <w:tc>
          <w:tcPr>
            <w:tcW w:type="dxa" w:w="4320"/>
          </w:tcPr>
          <w:p>
            <w:r/>
            <w:r>
              <w:rPr>
                <w:rFonts w:ascii="Times New Roman" w:hAnsi="Times New Roman" w:eastAsia="宋体"/>
                <w:b w:val="0"/>
                <w:sz w:val="18"/>
              </w:rPr>
              <w:t>0.0248</w:t>
            </w:r>
          </w:p>
        </w:tc>
      </w:tr>
      <w:tr>
        <w:tc>
          <w:tcPr>
            <w:tcW w:type="dxa" w:w="4320"/>
          </w:tcPr>
          <w:p>
            <w:r/>
            <w:r>
              <w:rPr>
                <w:rFonts w:ascii="Times New Roman" w:hAnsi="Times New Roman" w:eastAsia="宋体"/>
                <w:b w:val="0"/>
                <w:sz w:val="18"/>
              </w:rPr>
              <w:t>用药_华蟾素胶囊</w:t>
            </w:r>
          </w:p>
        </w:tc>
        <w:tc>
          <w:tcPr>
            <w:tcW w:type="dxa" w:w="4320"/>
          </w:tcPr>
          <w:p>
            <w:r/>
            <w:r>
              <w:rPr>
                <w:rFonts w:ascii="Times New Roman" w:hAnsi="Times New Roman" w:eastAsia="宋体"/>
                <w:b w:val="0"/>
                <w:sz w:val="18"/>
              </w:rPr>
              <w:t>0.0248</w:t>
            </w:r>
          </w:p>
        </w:tc>
      </w:tr>
      <w:tr>
        <w:tc>
          <w:tcPr>
            <w:tcW w:type="dxa" w:w="4320"/>
          </w:tcPr>
          <w:p>
            <w:r/>
            <w:r>
              <w:rPr>
                <w:rFonts w:ascii="Times New Roman" w:hAnsi="Times New Roman" w:eastAsia="宋体"/>
                <w:b w:val="0"/>
                <w:sz w:val="18"/>
              </w:rPr>
              <w:t>用药_肿瘤十项</w:t>
            </w:r>
          </w:p>
        </w:tc>
        <w:tc>
          <w:tcPr>
            <w:tcW w:type="dxa" w:w="4320"/>
          </w:tcPr>
          <w:p>
            <w:r/>
            <w:r>
              <w:rPr>
                <w:rFonts w:ascii="Times New Roman" w:hAnsi="Times New Roman" w:eastAsia="宋体"/>
                <w:b w:val="0"/>
                <w:sz w:val="18"/>
              </w:rPr>
              <w:t>0.0239</w:t>
            </w:r>
          </w:p>
        </w:tc>
      </w:tr>
      <w:tr>
        <w:tc>
          <w:tcPr>
            <w:tcW w:type="dxa" w:w="4320"/>
          </w:tcPr>
          <w:p>
            <w:r/>
            <w:r>
              <w:rPr>
                <w:rFonts w:ascii="Times New Roman" w:hAnsi="Times New Roman" w:eastAsia="宋体"/>
                <w:b w:val="0"/>
                <w:sz w:val="18"/>
              </w:rPr>
              <w:t>用药_维生素B6注射液</w:t>
            </w:r>
          </w:p>
        </w:tc>
        <w:tc>
          <w:tcPr>
            <w:tcW w:type="dxa" w:w="4320"/>
          </w:tcPr>
          <w:p>
            <w:r/>
            <w:r>
              <w:rPr>
                <w:rFonts w:ascii="Times New Roman" w:hAnsi="Times New Roman" w:eastAsia="宋体"/>
                <w:b w:val="0"/>
                <w:sz w:val="18"/>
              </w:rPr>
              <w:t>0.0235</w:t>
            </w:r>
          </w:p>
        </w:tc>
      </w:tr>
      <w:tr>
        <w:tc>
          <w:tcPr>
            <w:tcW w:type="dxa" w:w="4320"/>
          </w:tcPr>
          <w:p>
            <w:r/>
            <w:r>
              <w:rPr>
                <w:rFonts w:ascii="Times New Roman" w:hAnsi="Times New Roman" w:eastAsia="宋体"/>
                <w:b w:val="0"/>
                <w:sz w:val="18"/>
              </w:rPr>
              <w:t>用药_中药硬膏热贴敷治疗</w:t>
            </w:r>
          </w:p>
        </w:tc>
        <w:tc>
          <w:tcPr>
            <w:tcW w:type="dxa" w:w="4320"/>
          </w:tcPr>
          <w:p>
            <w:r/>
            <w:r>
              <w:rPr>
                <w:rFonts w:ascii="Times New Roman" w:hAnsi="Times New Roman" w:eastAsia="宋体"/>
                <w:b w:val="0"/>
                <w:sz w:val="18"/>
              </w:rPr>
              <w:t>0.0234</w:t>
            </w:r>
          </w:p>
        </w:tc>
      </w:tr>
      <w:tr>
        <w:tc>
          <w:tcPr>
            <w:tcW w:type="dxa" w:w="4320"/>
          </w:tcPr>
          <w:p>
            <w:r/>
            <w:r>
              <w:rPr>
                <w:rFonts w:ascii="Times New Roman" w:hAnsi="Times New Roman" w:eastAsia="宋体"/>
                <w:b w:val="0"/>
                <w:sz w:val="18"/>
              </w:rPr>
              <w:t>用药_艾司奥美拉唑钠粉针</w:t>
            </w:r>
          </w:p>
        </w:tc>
        <w:tc>
          <w:tcPr>
            <w:tcW w:type="dxa" w:w="4320"/>
          </w:tcPr>
          <w:p>
            <w:r/>
            <w:r>
              <w:rPr>
                <w:rFonts w:ascii="Times New Roman" w:hAnsi="Times New Roman" w:eastAsia="宋体"/>
                <w:b w:val="0"/>
                <w:sz w:val="18"/>
              </w:rPr>
              <w:t>0.0233</w:t>
            </w:r>
          </w:p>
        </w:tc>
      </w:tr>
    </w:tbl>
    <w:p>
      <w:pPr>
        <w:jc w:val="center"/>
      </w:pPr>
      <w:r>
        <w:rPr>
          <w:rFonts w:ascii="Times New Roman" w:hAnsi="Times New Roman" w:eastAsia="黑体"/>
          <w:b w:val="0"/>
          <w:sz w:val="20"/>
        </w:rPr>
        <w:t>再入院相关特征重要性 Top20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18"/>
              </w:rPr>
              <w:t>排名</w:t>
            </w:r>
          </w:p>
        </w:tc>
        <w:tc>
          <w:tcPr>
            <w:tcW w:type="dxa" w:w="2880"/>
          </w:tcPr>
          <w:p>
            <w:r/>
            <w:r>
              <w:rPr>
                <w:rFonts w:ascii="Times New Roman" w:hAnsi="Times New Roman" w:eastAsia="黑体"/>
                <w:b/>
                <w:sz w:val="18"/>
              </w:rPr>
              <w:t>特征</w:t>
            </w:r>
          </w:p>
        </w:tc>
        <w:tc>
          <w:tcPr>
            <w:tcW w:type="dxa" w:w="2880"/>
          </w:tcPr>
          <w:p>
            <w:r/>
            <w:r>
              <w:rPr>
                <w:rFonts w:ascii="Times New Roman" w:hAnsi="Times New Roman" w:eastAsia="黑体"/>
                <w:b/>
                <w:sz w:val="18"/>
              </w:rPr>
              <w:t>重要性</w:t>
            </w:r>
          </w:p>
        </w:tc>
      </w:tr>
      <w:tr>
        <w:tc>
          <w:tcPr>
            <w:tcW w:type="dxa" w:w="2880"/>
          </w:tcPr>
          <w:p>
            <w:r/>
            <w:r>
              <w:rPr>
                <w:rFonts w:ascii="Times New Roman" w:hAnsi="Times New Roman" w:eastAsia="宋体"/>
                <w:b w:val="0"/>
                <w:sz w:val="18"/>
              </w:rPr>
              <w:t>1</w:t>
            </w:r>
          </w:p>
        </w:tc>
        <w:tc>
          <w:tcPr>
            <w:tcW w:type="dxa" w:w="2880"/>
          </w:tcPr>
          <w:p>
            <w:r/>
            <w:r>
              <w:rPr>
                <w:rFonts w:ascii="Times New Roman" w:hAnsi="Times New Roman" w:eastAsia="宋体"/>
                <w:b w:val="0"/>
                <w:sz w:val="18"/>
              </w:rPr>
              <w:t>age_years</w:t>
            </w:r>
          </w:p>
        </w:tc>
        <w:tc>
          <w:tcPr>
            <w:tcW w:type="dxa" w:w="2880"/>
          </w:tcPr>
          <w:p>
            <w:r/>
            <w:r>
              <w:rPr>
                <w:rFonts w:ascii="Times New Roman" w:hAnsi="Times New Roman" w:eastAsia="宋体"/>
                <w:b w:val="0"/>
                <w:sz w:val="18"/>
              </w:rPr>
              <w:t>0.1782</w:t>
            </w:r>
          </w:p>
        </w:tc>
      </w:tr>
      <w:tr>
        <w:tc>
          <w:tcPr>
            <w:tcW w:type="dxa" w:w="2880"/>
          </w:tcPr>
          <w:p>
            <w:r/>
            <w:r>
              <w:rPr>
                <w:rFonts w:ascii="Times New Roman" w:hAnsi="Times New Roman" w:eastAsia="宋体"/>
                <w:b w:val="0"/>
                <w:sz w:val="18"/>
              </w:rPr>
              <w:t>2</w:t>
            </w:r>
          </w:p>
        </w:tc>
        <w:tc>
          <w:tcPr>
            <w:tcW w:type="dxa" w:w="2880"/>
          </w:tcPr>
          <w:p>
            <w:r/>
            <w:r>
              <w:rPr>
                <w:rFonts w:ascii="Times New Roman" w:hAnsi="Times New Roman" w:eastAsia="宋体"/>
                <w:b w:val="0"/>
                <w:sz w:val="18"/>
              </w:rPr>
              <w:t>用药_葡萄糖测定</w:t>
            </w:r>
          </w:p>
        </w:tc>
        <w:tc>
          <w:tcPr>
            <w:tcW w:type="dxa" w:w="2880"/>
          </w:tcPr>
          <w:p>
            <w:r/>
            <w:r>
              <w:rPr>
                <w:rFonts w:ascii="Times New Roman" w:hAnsi="Times New Roman" w:eastAsia="宋体"/>
                <w:b w:val="0"/>
                <w:sz w:val="18"/>
              </w:rPr>
              <w:t>0.0262</w:t>
            </w:r>
          </w:p>
        </w:tc>
      </w:tr>
      <w:tr>
        <w:tc>
          <w:tcPr>
            <w:tcW w:type="dxa" w:w="2880"/>
          </w:tcPr>
          <w:p>
            <w:r/>
            <w:r>
              <w:rPr>
                <w:rFonts w:ascii="Times New Roman" w:hAnsi="Times New Roman" w:eastAsia="宋体"/>
                <w:b w:val="0"/>
                <w:sz w:val="18"/>
              </w:rPr>
              <w:t>3</w:t>
            </w:r>
          </w:p>
        </w:tc>
        <w:tc>
          <w:tcPr>
            <w:tcW w:type="dxa" w:w="2880"/>
          </w:tcPr>
          <w:p>
            <w:r/>
            <w:r>
              <w:rPr>
                <w:rFonts w:ascii="Times New Roman" w:hAnsi="Times New Roman" w:eastAsia="宋体"/>
                <w:b w:val="0"/>
                <w:sz w:val="18"/>
              </w:rPr>
              <w:t>用药_地塞米松注射液</w:t>
            </w:r>
          </w:p>
        </w:tc>
        <w:tc>
          <w:tcPr>
            <w:tcW w:type="dxa" w:w="2880"/>
          </w:tcPr>
          <w:p>
            <w:r/>
            <w:r>
              <w:rPr>
                <w:rFonts w:ascii="Times New Roman" w:hAnsi="Times New Roman" w:eastAsia="宋体"/>
                <w:b w:val="0"/>
                <w:sz w:val="18"/>
              </w:rPr>
              <w:t>0.0237</w:t>
            </w:r>
          </w:p>
        </w:tc>
      </w:tr>
      <w:tr>
        <w:tc>
          <w:tcPr>
            <w:tcW w:type="dxa" w:w="2880"/>
          </w:tcPr>
          <w:p>
            <w:r/>
            <w:r>
              <w:rPr>
                <w:rFonts w:ascii="Times New Roman" w:hAnsi="Times New Roman" w:eastAsia="宋体"/>
                <w:b w:val="0"/>
                <w:sz w:val="18"/>
              </w:rPr>
              <w:t>4</w:t>
            </w:r>
          </w:p>
        </w:tc>
        <w:tc>
          <w:tcPr>
            <w:tcW w:type="dxa" w:w="2880"/>
          </w:tcPr>
          <w:p>
            <w:r/>
            <w:r>
              <w:rPr>
                <w:rFonts w:ascii="Times New Roman" w:hAnsi="Times New Roman" w:eastAsia="宋体"/>
                <w:b w:val="0"/>
                <w:sz w:val="18"/>
              </w:rPr>
              <w:t>用药_中药熏洗治疗</w:t>
            </w:r>
          </w:p>
        </w:tc>
        <w:tc>
          <w:tcPr>
            <w:tcW w:type="dxa" w:w="2880"/>
          </w:tcPr>
          <w:p>
            <w:r/>
            <w:r>
              <w:rPr>
                <w:rFonts w:ascii="Times New Roman" w:hAnsi="Times New Roman" w:eastAsia="宋体"/>
                <w:b w:val="0"/>
                <w:sz w:val="18"/>
              </w:rPr>
              <w:t>0.0235</w:t>
            </w:r>
          </w:p>
        </w:tc>
      </w:tr>
      <w:tr>
        <w:tc>
          <w:tcPr>
            <w:tcW w:type="dxa" w:w="2880"/>
          </w:tcPr>
          <w:p>
            <w:r/>
            <w:r>
              <w:rPr>
                <w:rFonts w:ascii="Times New Roman" w:hAnsi="Times New Roman" w:eastAsia="宋体"/>
                <w:b w:val="0"/>
                <w:sz w:val="18"/>
              </w:rPr>
              <w:t>5</w:t>
            </w:r>
          </w:p>
        </w:tc>
        <w:tc>
          <w:tcPr>
            <w:tcW w:type="dxa" w:w="2880"/>
          </w:tcPr>
          <w:p>
            <w:r/>
            <w:r>
              <w:rPr>
                <w:rFonts w:ascii="Times New Roman" w:hAnsi="Times New Roman" w:eastAsia="宋体"/>
                <w:b w:val="0"/>
                <w:sz w:val="18"/>
              </w:rPr>
              <w:t>用药_5%葡萄糖注射液</w:t>
            </w:r>
          </w:p>
        </w:tc>
        <w:tc>
          <w:tcPr>
            <w:tcW w:type="dxa" w:w="2880"/>
          </w:tcPr>
          <w:p>
            <w:r/>
            <w:r>
              <w:rPr>
                <w:rFonts w:ascii="Times New Roman" w:hAnsi="Times New Roman" w:eastAsia="宋体"/>
                <w:b w:val="0"/>
                <w:sz w:val="18"/>
              </w:rPr>
              <w:t>0.023</w:t>
            </w:r>
          </w:p>
        </w:tc>
      </w:tr>
      <w:tr>
        <w:tc>
          <w:tcPr>
            <w:tcW w:type="dxa" w:w="2880"/>
          </w:tcPr>
          <w:p>
            <w:r/>
            <w:r>
              <w:rPr>
                <w:rFonts w:ascii="Times New Roman" w:hAnsi="Times New Roman" w:eastAsia="宋体"/>
                <w:b w:val="0"/>
                <w:sz w:val="18"/>
              </w:rPr>
              <w:t>6</w:t>
            </w:r>
          </w:p>
        </w:tc>
        <w:tc>
          <w:tcPr>
            <w:tcW w:type="dxa" w:w="2880"/>
          </w:tcPr>
          <w:p>
            <w:r/>
            <w:r>
              <w:rPr>
                <w:rFonts w:ascii="Times New Roman" w:hAnsi="Times New Roman" w:eastAsia="宋体"/>
                <w:b w:val="0"/>
                <w:sz w:val="18"/>
              </w:rPr>
              <w:t>用药_甲氧氯普胺注射液</w:t>
            </w:r>
          </w:p>
        </w:tc>
        <w:tc>
          <w:tcPr>
            <w:tcW w:type="dxa" w:w="2880"/>
          </w:tcPr>
          <w:p>
            <w:r/>
            <w:r>
              <w:rPr>
                <w:rFonts w:ascii="Times New Roman" w:hAnsi="Times New Roman" w:eastAsia="宋体"/>
                <w:b w:val="0"/>
                <w:sz w:val="18"/>
              </w:rPr>
              <w:t>0.0224</w:t>
            </w:r>
          </w:p>
        </w:tc>
      </w:tr>
      <w:tr>
        <w:tc>
          <w:tcPr>
            <w:tcW w:type="dxa" w:w="2880"/>
          </w:tcPr>
          <w:p>
            <w:r/>
            <w:r>
              <w:rPr>
                <w:rFonts w:ascii="Times New Roman" w:hAnsi="Times New Roman" w:eastAsia="宋体"/>
                <w:b w:val="0"/>
                <w:sz w:val="18"/>
              </w:rPr>
              <w:t>7</w:t>
            </w:r>
          </w:p>
        </w:tc>
        <w:tc>
          <w:tcPr>
            <w:tcW w:type="dxa" w:w="2880"/>
          </w:tcPr>
          <w:p>
            <w:r/>
            <w:r>
              <w:rPr>
                <w:rFonts w:ascii="Times New Roman" w:hAnsi="Times New Roman" w:eastAsia="宋体"/>
                <w:b w:val="0"/>
                <w:sz w:val="18"/>
              </w:rPr>
              <w:t>用药_法莫替丁粉针</w:t>
            </w:r>
          </w:p>
        </w:tc>
        <w:tc>
          <w:tcPr>
            <w:tcW w:type="dxa" w:w="2880"/>
          </w:tcPr>
          <w:p>
            <w:r/>
            <w:r>
              <w:rPr>
                <w:rFonts w:ascii="Times New Roman" w:hAnsi="Times New Roman" w:eastAsia="宋体"/>
                <w:b w:val="0"/>
                <w:sz w:val="18"/>
              </w:rPr>
              <w:t>0.022</w:t>
            </w:r>
          </w:p>
        </w:tc>
      </w:tr>
      <w:tr>
        <w:tc>
          <w:tcPr>
            <w:tcW w:type="dxa" w:w="2880"/>
          </w:tcPr>
          <w:p>
            <w:r/>
            <w:r>
              <w:rPr>
                <w:rFonts w:ascii="Times New Roman" w:hAnsi="Times New Roman" w:eastAsia="宋体"/>
                <w:b w:val="0"/>
                <w:sz w:val="18"/>
              </w:rPr>
              <w:t>8</w:t>
            </w:r>
          </w:p>
        </w:tc>
        <w:tc>
          <w:tcPr>
            <w:tcW w:type="dxa" w:w="2880"/>
          </w:tcPr>
          <w:p>
            <w:r/>
            <w:r>
              <w:rPr>
                <w:rFonts w:ascii="Times New Roman" w:hAnsi="Times New Roman" w:eastAsia="宋体"/>
                <w:b w:val="0"/>
                <w:sz w:val="18"/>
              </w:rPr>
              <w:t>用药_参芪扶正注射液</w:t>
            </w:r>
          </w:p>
        </w:tc>
        <w:tc>
          <w:tcPr>
            <w:tcW w:type="dxa" w:w="2880"/>
          </w:tcPr>
          <w:p>
            <w:r/>
            <w:r>
              <w:rPr>
                <w:rFonts w:ascii="Times New Roman" w:hAnsi="Times New Roman" w:eastAsia="宋体"/>
                <w:b w:val="0"/>
                <w:sz w:val="18"/>
              </w:rPr>
              <w:t>0.0219</w:t>
            </w:r>
          </w:p>
        </w:tc>
      </w:tr>
      <w:tr>
        <w:tc>
          <w:tcPr>
            <w:tcW w:type="dxa" w:w="2880"/>
          </w:tcPr>
          <w:p>
            <w:r/>
            <w:r>
              <w:rPr>
                <w:rFonts w:ascii="Times New Roman" w:hAnsi="Times New Roman" w:eastAsia="宋体"/>
                <w:b w:val="0"/>
                <w:sz w:val="18"/>
              </w:rPr>
              <w:t>9</w:t>
            </w:r>
          </w:p>
        </w:tc>
        <w:tc>
          <w:tcPr>
            <w:tcW w:type="dxa" w:w="2880"/>
          </w:tcPr>
          <w:p>
            <w:r/>
            <w:r>
              <w:rPr>
                <w:rFonts w:ascii="Times New Roman" w:hAnsi="Times New Roman" w:eastAsia="宋体"/>
                <w:b w:val="0"/>
                <w:sz w:val="18"/>
              </w:rPr>
              <w:t>诊断_冠状动脉粥样硬化性心脏病</w:t>
            </w:r>
          </w:p>
        </w:tc>
        <w:tc>
          <w:tcPr>
            <w:tcW w:type="dxa" w:w="2880"/>
          </w:tcPr>
          <w:p>
            <w:r/>
            <w:r>
              <w:rPr>
                <w:rFonts w:ascii="Times New Roman" w:hAnsi="Times New Roman" w:eastAsia="宋体"/>
                <w:b w:val="0"/>
                <w:sz w:val="18"/>
              </w:rPr>
              <w:t>0.0216</w:t>
            </w:r>
          </w:p>
        </w:tc>
      </w:tr>
      <w:tr>
        <w:tc>
          <w:tcPr>
            <w:tcW w:type="dxa" w:w="2880"/>
          </w:tcPr>
          <w:p>
            <w:r/>
            <w:r>
              <w:rPr>
                <w:rFonts w:ascii="Times New Roman" w:hAnsi="Times New Roman" w:eastAsia="宋体"/>
                <w:b w:val="0"/>
                <w:sz w:val="18"/>
              </w:rPr>
              <w:t>10</w:t>
            </w:r>
          </w:p>
        </w:tc>
        <w:tc>
          <w:tcPr>
            <w:tcW w:type="dxa" w:w="2880"/>
          </w:tcPr>
          <w:p>
            <w:r/>
            <w:r>
              <w:rPr>
                <w:rFonts w:ascii="Times New Roman" w:hAnsi="Times New Roman" w:eastAsia="宋体"/>
                <w:b w:val="0"/>
                <w:sz w:val="18"/>
              </w:rPr>
              <w:t>用药_肿瘤十项</w:t>
            </w:r>
          </w:p>
        </w:tc>
        <w:tc>
          <w:tcPr>
            <w:tcW w:type="dxa" w:w="2880"/>
          </w:tcPr>
          <w:p>
            <w:r/>
            <w:r>
              <w:rPr>
                <w:rFonts w:ascii="Times New Roman" w:hAnsi="Times New Roman" w:eastAsia="宋体"/>
                <w:b w:val="0"/>
                <w:sz w:val="18"/>
              </w:rPr>
              <w:t>0.0207</w:t>
            </w:r>
          </w:p>
        </w:tc>
      </w:tr>
      <w:tr>
        <w:tc>
          <w:tcPr>
            <w:tcW w:type="dxa" w:w="2880"/>
          </w:tcPr>
          <w:p>
            <w:r/>
            <w:r>
              <w:rPr>
                <w:rFonts w:ascii="Times New Roman" w:hAnsi="Times New Roman" w:eastAsia="宋体"/>
                <w:b w:val="0"/>
                <w:sz w:val="18"/>
              </w:rPr>
              <w:t>11</w:t>
            </w:r>
          </w:p>
        </w:tc>
        <w:tc>
          <w:tcPr>
            <w:tcW w:type="dxa" w:w="2880"/>
          </w:tcPr>
          <w:p>
            <w:r/>
            <w:r>
              <w:rPr>
                <w:rFonts w:ascii="Times New Roman" w:hAnsi="Times New Roman" w:eastAsia="宋体"/>
                <w:b w:val="0"/>
                <w:sz w:val="18"/>
              </w:rPr>
              <w:t>用药_导管冲洗器</w:t>
            </w:r>
          </w:p>
        </w:tc>
        <w:tc>
          <w:tcPr>
            <w:tcW w:type="dxa" w:w="2880"/>
          </w:tcPr>
          <w:p>
            <w:r/>
            <w:r>
              <w:rPr>
                <w:rFonts w:ascii="Times New Roman" w:hAnsi="Times New Roman" w:eastAsia="宋体"/>
                <w:b w:val="0"/>
                <w:sz w:val="18"/>
              </w:rPr>
              <w:t>0.0205</w:t>
            </w:r>
          </w:p>
        </w:tc>
      </w:tr>
      <w:tr>
        <w:tc>
          <w:tcPr>
            <w:tcW w:type="dxa" w:w="2880"/>
          </w:tcPr>
          <w:p>
            <w:r/>
            <w:r>
              <w:rPr>
                <w:rFonts w:ascii="Times New Roman" w:hAnsi="Times New Roman" w:eastAsia="宋体"/>
                <w:b w:val="0"/>
                <w:sz w:val="18"/>
              </w:rPr>
              <w:t>12</w:t>
            </w:r>
          </w:p>
        </w:tc>
        <w:tc>
          <w:tcPr>
            <w:tcW w:type="dxa" w:w="2880"/>
          </w:tcPr>
          <w:p>
            <w:r/>
            <w:r>
              <w:rPr>
                <w:rFonts w:ascii="Times New Roman" w:hAnsi="Times New Roman" w:eastAsia="宋体"/>
                <w:b w:val="0"/>
                <w:sz w:val="18"/>
              </w:rPr>
              <w:t>诊断_高血压</w:t>
            </w:r>
          </w:p>
        </w:tc>
        <w:tc>
          <w:tcPr>
            <w:tcW w:type="dxa" w:w="2880"/>
          </w:tcPr>
          <w:p>
            <w:r/>
            <w:r>
              <w:rPr>
                <w:rFonts w:ascii="Times New Roman" w:hAnsi="Times New Roman" w:eastAsia="宋体"/>
                <w:b w:val="0"/>
                <w:sz w:val="18"/>
              </w:rPr>
              <w:t>0.0201</w:t>
            </w:r>
          </w:p>
        </w:tc>
      </w:tr>
      <w:tr>
        <w:tc>
          <w:tcPr>
            <w:tcW w:type="dxa" w:w="2880"/>
          </w:tcPr>
          <w:p>
            <w:r/>
            <w:r>
              <w:rPr>
                <w:rFonts w:ascii="Times New Roman" w:hAnsi="Times New Roman" w:eastAsia="宋体"/>
                <w:b w:val="0"/>
                <w:sz w:val="18"/>
              </w:rPr>
              <w:t>13</w:t>
            </w:r>
          </w:p>
        </w:tc>
        <w:tc>
          <w:tcPr>
            <w:tcW w:type="dxa" w:w="2880"/>
          </w:tcPr>
          <w:p>
            <w:r/>
            <w:r>
              <w:rPr>
                <w:rFonts w:ascii="Times New Roman" w:hAnsi="Times New Roman" w:eastAsia="宋体"/>
                <w:b w:val="0"/>
                <w:sz w:val="18"/>
              </w:rPr>
              <w:t>用药_氧气吸入</w:t>
            </w:r>
          </w:p>
        </w:tc>
        <w:tc>
          <w:tcPr>
            <w:tcW w:type="dxa" w:w="2880"/>
          </w:tcPr>
          <w:p>
            <w:r/>
            <w:r>
              <w:rPr>
                <w:rFonts w:ascii="Times New Roman" w:hAnsi="Times New Roman" w:eastAsia="宋体"/>
                <w:b w:val="0"/>
                <w:sz w:val="18"/>
              </w:rPr>
              <w:t>0.0199</w:t>
            </w:r>
          </w:p>
        </w:tc>
      </w:tr>
      <w:tr>
        <w:tc>
          <w:tcPr>
            <w:tcW w:type="dxa" w:w="2880"/>
          </w:tcPr>
          <w:p>
            <w:r/>
            <w:r>
              <w:rPr>
                <w:rFonts w:ascii="Times New Roman" w:hAnsi="Times New Roman" w:eastAsia="宋体"/>
                <w:b w:val="0"/>
                <w:sz w:val="18"/>
              </w:rPr>
              <w:t>14</w:t>
            </w:r>
          </w:p>
        </w:tc>
        <w:tc>
          <w:tcPr>
            <w:tcW w:type="dxa" w:w="2880"/>
          </w:tcPr>
          <w:p>
            <w:r/>
            <w:r>
              <w:rPr>
                <w:rFonts w:ascii="Times New Roman" w:hAnsi="Times New Roman" w:eastAsia="宋体"/>
                <w:b w:val="0"/>
                <w:sz w:val="18"/>
              </w:rPr>
              <w:t>用药_西咪替丁注射液</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15</w:t>
            </w:r>
          </w:p>
        </w:tc>
        <w:tc>
          <w:tcPr>
            <w:tcW w:type="dxa" w:w="2880"/>
          </w:tcPr>
          <w:p>
            <w:r/>
            <w:r>
              <w:rPr>
                <w:rFonts w:ascii="Times New Roman" w:hAnsi="Times New Roman" w:eastAsia="宋体"/>
                <w:b w:val="0"/>
                <w:sz w:val="18"/>
              </w:rPr>
              <w:t>诊断_肺部感染</w:t>
            </w:r>
          </w:p>
        </w:tc>
        <w:tc>
          <w:tcPr>
            <w:tcW w:type="dxa" w:w="2880"/>
          </w:tcPr>
          <w:p>
            <w:r/>
            <w:r>
              <w:rPr>
                <w:rFonts w:ascii="Times New Roman" w:hAnsi="Times New Roman" w:eastAsia="宋体"/>
                <w:b w:val="0"/>
                <w:sz w:val="18"/>
              </w:rPr>
              <w:t>0.0191</w:t>
            </w:r>
          </w:p>
        </w:tc>
      </w:tr>
      <w:tr>
        <w:tc>
          <w:tcPr>
            <w:tcW w:type="dxa" w:w="2880"/>
          </w:tcPr>
          <w:p>
            <w:r/>
            <w:r>
              <w:rPr>
                <w:rFonts w:ascii="Times New Roman" w:hAnsi="Times New Roman" w:eastAsia="宋体"/>
                <w:b w:val="0"/>
                <w:sz w:val="18"/>
              </w:rPr>
              <w:t>16</w:t>
            </w:r>
          </w:p>
        </w:tc>
        <w:tc>
          <w:tcPr>
            <w:tcW w:type="dxa" w:w="2880"/>
          </w:tcPr>
          <w:p>
            <w:r/>
            <w:r>
              <w:rPr>
                <w:rFonts w:ascii="Times New Roman" w:hAnsi="Times New Roman" w:eastAsia="宋体"/>
                <w:b w:val="0"/>
                <w:sz w:val="18"/>
              </w:rPr>
              <w:t>用药_中药硬膏热贴敷治疗</w:t>
            </w:r>
          </w:p>
        </w:tc>
        <w:tc>
          <w:tcPr>
            <w:tcW w:type="dxa" w:w="2880"/>
          </w:tcPr>
          <w:p>
            <w:r/>
            <w:r>
              <w:rPr>
                <w:rFonts w:ascii="Times New Roman" w:hAnsi="Times New Roman" w:eastAsia="宋体"/>
                <w:b w:val="0"/>
                <w:sz w:val="18"/>
              </w:rPr>
              <w:t>0.0188</w:t>
            </w:r>
          </w:p>
        </w:tc>
      </w:tr>
      <w:tr>
        <w:tc>
          <w:tcPr>
            <w:tcW w:type="dxa" w:w="2880"/>
          </w:tcPr>
          <w:p>
            <w:r/>
            <w:r>
              <w:rPr>
                <w:rFonts w:ascii="Times New Roman" w:hAnsi="Times New Roman" w:eastAsia="宋体"/>
                <w:b w:val="0"/>
                <w:sz w:val="18"/>
              </w:rPr>
              <w:t>17</w:t>
            </w:r>
          </w:p>
        </w:tc>
        <w:tc>
          <w:tcPr>
            <w:tcW w:type="dxa" w:w="2880"/>
          </w:tcPr>
          <w:p>
            <w:r/>
            <w:r>
              <w:rPr>
                <w:rFonts w:ascii="Times New Roman" w:hAnsi="Times New Roman" w:eastAsia="宋体"/>
                <w:b w:val="0"/>
                <w:sz w:val="18"/>
              </w:rPr>
              <w:t>用药_碘海醇注射液</w:t>
            </w:r>
          </w:p>
        </w:tc>
        <w:tc>
          <w:tcPr>
            <w:tcW w:type="dxa" w:w="2880"/>
          </w:tcPr>
          <w:p>
            <w:r/>
            <w:r>
              <w:rPr>
                <w:rFonts w:ascii="Times New Roman" w:hAnsi="Times New Roman" w:eastAsia="宋体"/>
                <w:b w:val="0"/>
                <w:sz w:val="18"/>
              </w:rPr>
              <w:t>0.0185</w:t>
            </w:r>
          </w:p>
        </w:tc>
      </w:tr>
      <w:tr>
        <w:tc>
          <w:tcPr>
            <w:tcW w:type="dxa" w:w="2880"/>
          </w:tcPr>
          <w:p>
            <w:r/>
            <w:r>
              <w:rPr>
                <w:rFonts w:ascii="Times New Roman" w:hAnsi="Times New Roman" w:eastAsia="宋体"/>
                <w:b w:val="0"/>
                <w:sz w:val="18"/>
              </w:rPr>
              <w:t>18</w:t>
            </w:r>
          </w:p>
        </w:tc>
        <w:tc>
          <w:tcPr>
            <w:tcW w:type="dxa" w:w="2880"/>
          </w:tcPr>
          <w:p>
            <w:r/>
            <w:r>
              <w:rPr>
                <w:rFonts w:ascii="Times New Roman" w:hAnsi="Times New Roman" w:eastAsia="宋体"/>
                <w:b w:val="0"/>
                <w:sz w:val="18"/>
              </w:rPr>
              <w:t>用药_华蟾素胶囊</w:t>
            </w:r>
          </w:p>
        </w:tc>
        <w:tc>
          <w:tcPr>
            <w:tcW w:type="dxa" w:w="2880"/>
          </w:tcPr>
          <w:p>
            <w:r/>
            <w:r>
              <w:rPr>
                <w:rFonts w:ascii="Times New Roman" w:hAnsi="Times New Roman" w:eastAsia="宋体"/>
                <w:b w:val="0"/>
                <w:sz w:val="18"/>
              </w:rPr>
              <w:t>0.0184</w:t>
            </w:r>
          </w:p>
        </w:tc>
      </w:tr>
      <w:tr>
        <w:tc>
          <w:tcPr>
            <w:tcW w:type="dxa" w:w="2880"/>
          </w:tcPr>
          <w:p>
            <w:r/>
            <w:r>
              <w:rPr>
                <w:rFonts w:ascii="Times New Roman" w:hAnsi="Times New Roman" w:eastAsia="宋体"/>
                <w:b w:val="0"/>
                <w:sz w:val="18"/>
              </w:rPr>
              <w:t>19</w:t>
            </w:r>
          </w:p>
        </w:tc>
        <w:tc>
          <w:tcPr>
            <w:tcW w:type="dxa" w:w="2880"/>
          </w:tcPr>
          <w:p>
            <w:r/>
            <w:r>
              <w:rPr>
                <w:rFonts w:ascii="Times New Roman" w:hAnsi="Times New Roman" w:eastAsia="宋体"/>
                <w:b w:val="0"/>
                <w:sz w:val="18"/>
              </w:rPr>
              <w:t>用药_维生素C注射液</w:t>
            </w:r>
          </w:p>
        </w:tc>
        <w:tc>
          <w:tcPr>
            <w:tcW w:type="dxa" w:w="2880"/>
          </w:tcPr>
          <w:p>
            <w:r/>
            <w:r>
              <w:rPr>
                <w:rFonts w:ascii="Times New Roman" w:hAnsi="Times New Roman" w:eastAsia="宋体"/>
                <w:b w:val="0"/>
                <w:sz w:val="18"/>
              </w:rPr>
              <w:t>0.0181</w:t>
            </w:r>
          </w:p>
        </w:tc>
      </w:tr>
      <w:tr>
        <w:tc>
          <w:tcPr>
            <w:tcW w:type="dxa" w:w="2880"/>
          </w:tcPr>
          <w:p>
            <w:r/>
            <w:r>
              <w:rPr>
                <w:rFonts w:ascii="Times New Roman" w:hAnsi="Times New Roman" w:eastAsia="宋体"/>
                <w:b w:val="0"/>
                <w:sz w:val="18"/>
              </w:rPr>
              <w:t>20</w:t>
            </w:r>
          </w:p>
        </w:tc>
        <w:tc>
          <w:tcPr>
            <w:tcW w:type="dxa" w:w="2880"/>
          </w:tcPr>
          <w:p>
            <w:r/>
            <w:r>
              <w:rPr>
                <w:rFonts w:ascii="Times New Roman" w:hAnsi="Times New Roman" w:eastAsia="宋体"/>
                <w:b w:val="0"/>
                <w:sz w:val="18"/>
              </w:rPr>
              <w:t>用药_穴位贴敷治疗</w:t>
            </w:r>
          </w:p>
        </w:tc>
        <w:tc>
          <w:tcPr>
            <w:tcW w:type="dxa" w:w="2880"/>
          </w:tcPr>
          <w:p>
            <w:r/>
            <w:r>
              <w:rPr>
                <w:rFonts w:ascii="Times New Roman" w:hAnsi="Times New Roman" w:eastAsia="宋体"/>
                <w:b w:val="0"/>
                <w:sz w:val="18"/>
              </w:rPr>
              <w:t>0.018</w:t>
            </w:r>
          </w:p>
        </w:tc>
      </w:tr>
    </w:tbl>
    <w:p>
      <w:r>
        <w:drawing>
          <wp:inline xmlns:a="http://schemas.openxmlformats.org/drawingml/2006/main" xmlns:pic="http://schemas.openxmlformats.org/drawingml/2006/picture">
            <wp:extent cx="5080000" cy="317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w:t>
      </w:r>
    </w:p>
    <w:p>
      <w:r>
        <w:drawing>
          <wp:inline xmlns:a="http://schemas.openxmlformats.org/drawingml/2006/main" xmlns:pic="http://schemas.openxmlformats.org/drawingml/2006/picture">
            <wp:extent cx="5080000" cy="3175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 Top20</w:t>
      </w:r>
    </w:p>
    <w:p>
      <w:r>
        <w:rPr>
          <w:rFonts w:ascii="Times New Roman" w:hAnsi="Times New Roman" w:eastAsia="黑体"/>
          <w:b/>
          <w:sz w:val="28"/>
        </w:rPr>
        <w:t>讨论</w:t>
      </w:r>
    </w:p>
    <w:p>
      <w:pPr>
        <w:spacing w:line="360" w:lineRule="auto"/>
      </w:pPr>
      <w:r>
        <w:rPr>
          <w:rFonts w:ascii="Times New Roman" w:hAnsi="Times New Roman" w:eastAsia="宋体"/>
          <w:b/>
          <w:sz w:val="24"/>
        </w:rPr>
        <w:t>4 讨论</w:t>
      </w:r>
    </w:p>
    <w:p>
      <w:pPr>
        <w:spacing w:line="360" w:lineRule="auto"/>
      </w:pPr>
      <w:r>
        <w:rPr>
          <w:rFonts w:ascii="Times New Roman" w:hAnsi="Times New Roman" w:eastAsia="宋体"/>
          <w:b/>
          <w:sz w:val="24"/>
        </w:rPr>
        <w:t>4.1 主要发现</w:t>
      </w:r>
    </w:p>
    <w:p>
      <w:pPr>
        <w:spacing w:line="360" w:lineRule="auto"/>
        <w:ind w:firstLine="480"/>
      </w:pPr>
      <w:r>
        <w:rPr>
          <w:rFonts w:ascii="Times New Roman" w:hAnsi="Times New Roman" w:eastAsia="宋体"/>
          <w:b w:val="0"/>
          <w:sz w:val="24"/>
        </w:rPr>
        <w:t>本研究基于某县级医院肿瘤血液科3 990例肺恶性肿瘤住院患者的13 743次就诊记录，通过疾病共现网络与分类预测模型的联合分析，得出以下主要发现：①共病网络包含24种疾病、50条共现边，冠心病—高血压为最强共现组合（共同出现于1 184次就诊），冠心病—肺部感染（827次）、肺恶性肿瘤—肺部感染（625次）亦呈现高频共现；②随机森林与Logistic回归对再入院的判别能力中等（AUC分别为0.702与0.686，Accuracy分别为0.835与0.841）；③年龄是再入院预测中贡献最突出的单一特征（随机森林重要性0.258），冠心病、高血压、肺部感染等共病诊断在预测模型中亦进入前列。上述共病特征在网络分析与预测建模中的交汇，提示其临床管理价值值得进一步关注。</w:t>
      </w:r>
    </w:p>
    <w:p>
      <w:pPr>
        <w:spacing w:line="360" w:lineRule="auto"/>
        <w:ind w:firstLine="480"/>
      </w:pPr>
      <w:r>
        <w:rPr>
          <w:rFonts w:ascii="Times New Roman" w:hAnsi="Times New Roman" w:eastAsia="宋体"/>
          <w:b w:val="0"/>
          <w:sz w:val="24"/>
        </w:rPr>
        <w:t>需要强调的是，本研究为回顾性关联分析，上述结果仅反映变量间的统计关联，不构成因果关系证据。</w:t>
      </w:r>
    </w:p>
    <w:p>
      <w:pPr>
        <w:spacing w:line="360" w:lineRule="auto"/>
      </w:pPr>
      <w:r>
        <w:rPr>
          <w:rFonts w:ascii="Times New Roman" w:hAnsi="Times New Roman" w:eastAsia="宋体"/>
          <w:b/>
          <w:sz w:val="24"/>
        </w:rPr>
        <w:t>4.2 与既往研究的比较</w:t>
      </w:r>
    </w:p>
    <w:p>
      <w:pPr>
        <w:spacing w:line="360" w:lineRule="auto"/>
        <w:ind w:firstLine="480"/>
      </w:pPr>
      <w:r>
        <w:rPr>
          <w:rFonts w:ascii="Times New Roman" w:hAnsi="Times New Roman" w:eastAsia="宋体"/>
          <w:b w:val="0"/>
          <w:sz w:val="24"/>
        </w:rPr>
        <w:t>本研究结果与既往文献具有一致性。BMC Cancer发表的一项基于中国城市医疗数据的研究明确指出，共病是肺癌患者不良预后的重要预测因素，与再入院风险显著相关[2]。本研究中冠心病、高血压、肺部感染等共病在预测模型中的贡献，与该研究的结论相互印证。在胸外科手术人群中，已有系统综述识别出术前合并症是术后非计划再入院的重要决定因素[5]；针对晚期肺癌住院患者的研究亦发现，共病负担与后续急性医疗资源利用风险相关[7]。本研究将上述关联拓展至以非手术为主的肺恶性肿瘤住院人群，并引入网络分析视角，在方法上形成互补。</w:t>
      </w:r>
    </w:p>
    <w:p>
      <w:pPr>
        <w:spacing w:line="360" w:lineRule="auto"/>
      </w:pPr>
      <w:r>
        <w:rPr>
          <w:rFonts w:ascii="Times New Roman" w:hAnsi="Times New Roman" w:eastAsia="宋体"/>
          <w:b/>
          <w:sz w:val="24"/>
        </w:rPr>
        <w:t>4.3 网络结构与预测特征的整合解读</w:t>
      </w:r>
    </w:p>
    <w:p>
      <w:pPr>
        <w:spacing w:line="360" w:lineRule="auto"/>
        <w:ind w:firstLine="480"/>
      </w:pPr>
      <w:r>
        <w:rPr>
          <w:rFonts w:ascii="Times New Roman" w:hAnsi="Times New Roman" w:eastAsia="宋体"/>
          <w:b w:val="0"/>
          <w:sz w:val="24"/>
        </w:rPr>
        <w:t>疾病共现网络呈现以心血管代谢疾病（冠心病、高血压、糖尿病、脑梗死）为核心、肺部感染为重要枢纽的结构特征。在共现频次最高的10对疾病组合中，6对涉及冠心病或高血压，提示心血管代谢共病在肺恶性肿瘤住院人群中高度聚集；肺部感染与冠心病（827次）、肺恶性肿瘤（625次）的高频共现，提示感染在共病网络中可能连接肿瘤本身与心血管合并症。预测模型中，冠心病（重要性0.029）、高血压（0.025）、肺部感染（0.025）等诊断特征的重要性虽低于年龄，但均进入前列，与网络分析结果形成交叉印证。</w:t>
      </w:r>
    </w:p>
    <w:p>
      <w:pPr>
        <w:spacing w:line="360" w:lineRule="auto"/>
        <w:ind w:firstLine="480"/>
      </w:pPr>
      <w:r>
        <w:rPr>
          <w:rFonts w:ascii="Times New Roman" w:hAnsi="Times New Roman" w:eastAsia="宋体"/>
          <w:b w:val="0"/>
          <w:sz w:val="24"/>
        </w:rPr>
        <w:t>年龄的主导性地位（重要性0.258，明显高于其余特征）可能反映老年患者整体功能储备与生理脆弱性的差异，而非单纯的时序效应[13]。用药特征（如地塞米松、甲氧氯普胺、中药熏洗治疗等）进入重要特征列表，可能反映治疗强度、症状负担或疾病阶段的信息，而非直接的因果作用，需谨慎解读。需要说明的是，本研究未计算网络的模块度、中心性等拓扑指标，也未将网络指标作为预测变量纳入模型，网络分析与预测模型目前仍为两个相对独立的分析视角，而非统计意义上的整合分析；"以心血管代谢疾病为核心"的结构判断基于共现频次的描述性观察，缺乏定量聚类依据，应视为探索性发现。</w:t>
      </w:r>
    </w:p>
    <w:p>
      <w:pPr>
        <w:spacing w:line="360" w:lineRule="auto"/>
      </w:pPr>
      <w:r>
        <w:rPr>
          <w:rFonts w:ascii="Times New Roman" w:hAnsi="Times New Roman" w:eastAsia="宋体"/>
          <w:b/>
          <w:sz w:val="24"/>
        </w:rPr>
        <w:t>4.4 局限性</w:t>
      </w:r>
    </w:p>
    <w:p>
      <w:pPr>
        <w:spacing w:line="360" w:lineRule="auto"/>
        <w:ind w:firstLine="480"/>
      </w:pPr>
      <w:r>
        <w:rPr>
          <w:rFonts w:ascii="Times New Roman" w:hAnsi="Times New Roman" w:eastAsia="宋体"/>
          <w:b w:val="0"/>
          <w:sz w:val="24"/>
        </w:rPr>
        <w:t>本研究存在以下局限性：第一，单中心回顾性设计，数据来源于一家县级医院，样本代表性有限，外推至其他层级或地区的医疗机构需谨慎，证据等级为低至中等。第二，数据中无性别字段，无法进行性别分层分析或校正性别混杂；既往研究表明性别可能影响肺癌共病谱与预后[2]，年龄与共病之间的关联可能受性别分布差异影响。第三，检验项目覆盖率有限（约两成），缺失检验数据的患者可能在疾病严重程度或监测强度上系统性不同于有完整检验记录者，构成潜在信息偏倚；本研究未报告各特征的具体缺失率及处理方法。第四，本研究为回顾性关联分析，特征重要性反映预测贡献而非因果关系，共病与再入院之间的关联可能受未测量的混杂因素（如疾病分期、治疗线数、功能状态、社会经济地位、治疗依从性等）影响，且未针对上述混杂因素进行敏感性分析或校正。第五，目标变量"再入院"未限定时间窗（30天/90天/任意时间），84.1%的阳性率提示该变量可能包含计划内化疗入院而非仅非计划再入院，这一定义上的模糊性直接影响研究结论的有效性解读，是本研究最根本的效度威胁。第六，模型判别能力处于中等水平（AUC 0.686–0.702），提示再入院风险受复杂多因素影响，现有结构化特征的信息量有限[14]；同时，本研究对多个特征进行了重要性排序，未进行多重比较校正，重要特征的排序结果应视为探索性发现。第七，训练集与测试集的划分方式、交叉验证策略及超参数调优细节因原始分析记录未留存而数据不可得，模型评估结果无法被完全验证或复现；软件版本及伦理审批信息亦未收集。此外，本研究以就诊记录而非患者为独立分析单位，同一患者多次就诊可能构成聚类数据，本分析未对此进行专门处理。</w:t>
      </w:r>
    </w:p>
    <w:p>
      <w:pPr>
        <w:spacing w:line="360" w:lineRule="auto"/>
        <w:ind w:firstLine="480"/>
      </w:pPr>
      <w:r>
        <w:rPr>
          <w:rFonts w:ascii="Times New Roman" w:hAnsi="Times New Roman" w:eastAsia="宋体"/>
          <w:b w:val="0"/>
          <w:sz w:val="24"/>
        </w:rPr>
        <w:t>未来研究应首先明确再入院的定义与时间窗，区分计划内与计划外入院；在此基础上，可纳入更多维度的数据（如实验室动态轨迹、治疗反应、社会心理因素）以提升预测效能，并在多中心队列中验证本研究的发现。</w:t>
      </w:r>
    </w:p>
    <w:p>
      <w:r>
        <w:rPr>
          <w:rFonts w:ascii="Times New Roman" w:hAnsi="Times New Roman" w:eastAsia="黑体"/>
          <w:b/>
          <w:sz w:val="28"/>
        </w:rPr>
        <w:t>结论</w:t>
      </w:r>
    </w:p>
    <w:p>
      <w:pPr>
        <w:spacing w:line="360" w:lineRule="auto"/>
      </w:pPr>
      <w:r>
        <w:rPr>
          <w:rFonts w:ascii="Times New Roman" w:hAnsi="Times New Roman" w:eastAsia="宋体"/>
          <w:b/>
          <w:sz w:val="24"/>
        </w:rPr>
        <w:t>5 结论</w:t>
      </w:r>
    </w:p>
    <w:p>
      <w:pPr>
        <w:spacing w:line="360" w:lineRule="auto"/>
        <w:ind w:firstLine="480"/>
      </w:pPr>
      <w:r>
        <w:rPr>
          <w:rFonts w:ascii="Times New Roman" w:hAnsi="Times New Roman" w:eastAsia="宋体"/>
          <w:b w:val="0"/>
          <w:sz w:val="24"/>
        </w:rPr>
        <w:t>本研究基于某县级医院肿瘤血液科3 990例肺恶性肿瘤住院患者的13 743次就诊记录，通过疾病共现网络与分类预测模型的联合分析，得出以下结论：</w:t>
      </w:r>
    </w:p>
    <w:p>
      <w:pPr>
        <w:spacing w:line="360" w:lineRule="auto"/>
        <w:ind w:firstLine="480"/>
      </w:pPr>
      <w:r>
        <w:rPr>
          <w:rFonts w:ascii="Times New Roman" w:hAnsi="Times New Roman" w:eastAsia="宋体"/>
          <w:b w:val="0"/>
          <w:sz w:val="24"/>
        </w:rPr>
        <w:t>（1）肺恶性肿瘤住院患者的疾病共现网络包含24种疾病节点、50条共现边。共现频次最高的疾病对为冠状动脉粥样硬化性心脏病—高血压（1 184次），其次为冠状动脉粥样硬化性心脏病—肺部感染（827次）、肺恶性肿瘤—肺部感染（625次）、脑梗死—高血压（624次）及冠状动脉粥样硬化性心脏病—肺恶性肿瘤（585次）。上述结果提示，心血管代谢疾病（冠心病、高血压、糖尿病、脑梗死）与肺部感染在肺恶性肿瘤住院人群中呈现较高的共现频率。需要说明的是，本研究的网络分析仅基于共现频次的描述性统计，未计算模块度、中心性等网络拓扑指标，因此无法从定量角度确认网络中存在特定的聚集簇结构，亦不能据此推断疾病间的生物学关联或因果路径。</w:t>
      </w:r>
    </w:p>
    <w:p>
      <w:pPr>
        <w:spacing w:line="360" w:lineRule="auto"/>
        <w:ind w:firstLine="480"/>
      </w:pPr>
      <w:r>
        <w:rPr>
          <w:rFonts w:ascii="Times New Roman" w:hAnsi="Times New Roman" w:eastAsia="宋体"/>
          <w:b w:val="0"/>
          <w:sz w:val="24"/>
        </w:rPr>
        <w:t>（2）以再入院为目标变量的分类预测模型中，随机森林（Accuracy=0.835，AUC=0.702）与Logistic回归（Accuracy=0.841，AUC=0.686）的判别能力均处于中等水平。年龄是最重要的预测特征（随机森林特征重要性为0.258），冠状动脉粥样硬化性心脏病、高血压、肺部感染等共病诊断亦进入重要特征前列，与共现网络中上述疾病的高频共现结果相互印证。但需强调，特征重要性仅反映预测贡献，不代表因果关系；且本研究中再入院阳性率高达84.1%，高度提示目标事件可能包含计划内化疗入院，而非严格意义上的非计划再入院，这一定义层面的不确定性使得预测模型的临床解释需极为谨慎。</w:t>
      </w:r>
    </w:p>
    <w:p>
      <w:pPr>
        <w:spacing w:line="360" w:lineRule="auto"/>
        <w:ind w:firstLine="480"/>
      </w:pPr>
      <w:r>
        <w:rPr>
          <w:rFonts w:ascii="Times New Roman" w:hAnsi="Times New Roman" w:eastAsia="宋体"/>
          <w:b w:val="0"/>
          <w:sz w:val="24"/>
        </w:rPr>
        <w:t>（3）疾病共现网络与预测模型的交汇提示，心血管代谢共病与肺部感染可能是肺恶性肿瘤住院患者共病管理及再入院风险评估中值得关注的维度，但这一判断尚缺乏网络拓扑指标与预测模型的统计整合证据支持，亦未对疾病分期、治疗线数等潜在混杂因素进行校正，故上述发现仅为探索性关联结果。</w:t>
      </w:r>
    </w:p>
    <w:p>
      <w:pPr>
        <w:spacing w:line="360" w:lineRule="auto"/>
        <w:ind w:firstLine="480"/>
      </w:pPr>
      <w:r>
        <w:rPr>
          <w:rFonts w:ascii="Times New Roman" w:hAnsi="Times New Roman" w:eastAsia="宋体"/>
          <w:b w:val="0"/>
          <w:sz w:val="24"/>
        </w:rPr>
        <w:t>本研究存在以下局限性：第一，单中心回顾性设计，数据来源于一家县级医院，外部推广性受限；第二，再入院目标变量未限定时间窗（30天/90天/任意时间），且阳性率异常偏高，提示可能混入计划内入院，直接削弱了预测模型结论的有效性；第三，以就诊记录而非患者为独立分析单位，同一患者多次就诊构成聚类数据，未进行相应统计处理；第四，训练集与测试集划分方式、交叉验证策略及超参数调优细节因原始分析记录未留存而数据不可得，模型评估结果无法被独立验证或复现；第五，数据未收集性别字段，检验覆盖率有限，且未报告特征缺失率及处理方法；第六，未针对疾病分期、治疗线数等关键混杂因素进行敏感性分析或校正。上述发现为关联性结果，其临床意义有待多中心、前瞻性研究进一步验证。</w:t>
      </w:r>
    </w:p>
    <w:p>
      <w:r>
        <w:rPr>
          <w:rFonts w:ascii="Times New Roman" w:hAnsi="Times New Roman" w:eastAsia="黑体"/>
          <w:b/>
          <w:sz w:val="28"/>
        </w:rPr>
        <w:t>参考文献</w:t>
      </w:r>
    </w:p>
    <w:p>
      <w:pPr>
        <w:spacing w:line="360" w:lineRule="auto"/>
        <w:ind w:firstLine="480"/>
      </w:pPr>
      <w:r>
        <w:rPr>
          <w:rFonts w:ascii="Times New Roman" w:hAnsi="Times New Roman" w:eastAsia="宋体"/>
          <w:b w:val="0"/>
          <w:sz w:val="24"/>
        </w:rPr>
        <w:t>[1] Sabajo CR, Ten Cate DWG, van Grinsven S, et al. Nationwide Implementation of Multimodal Prehabilitation and Complications After Colorectal Cancer Surgery[J]. JAMA surgery, 2026, 161(7): 711. DOI: 10.1001/jamasurg.2026.1519.</w:t>
      </w:r>
    </w:p>
    <w:p>
      <w:pPr>
        <w:spacing w:line="360" w:lineRule="auto"/>
        <w:ind w:firstLine="480"/>
      </w:pPr>
      <w:r>
        <w:rPr>
          <w:rFonts w:ascii="Times New Roman" w:hAnsi="Times New Roman" w:eastAsia="宋体"/>
          <w:b w:val="0"/>
          <w:sz w:val="24"/>
        </w:rPr>
        <w:t>[2] Zhu D, Ding R, Ma Y, et al. Comorbidity in lung cancer patients and its association with hospital readmission and fatality in China[J]. BMC cancer, 2021, 21(1): 557. DOI: 10.1186/s12885-021-08272-y.</w:t>
      </w:r>
    </w:p>
    <w:p>
      <w:pPr>
        <w:spacing w:line="360" w:lineRule="auto"/>
        <w:ind w:firstLine="480"/>
      </w:pPr>
      <w:r>
        <w:rPr>
          <w:rFonts w:ascii="Times New Roman" w:hAnsi="Times New Roman" w:eastAsia="宋体"/>
          <w:b w:val="0"/>
          <w:sz w:val="24"/>
        </w:rPr>
        <w:t>[3] Tupper HI, Lawson BL, Kipnis P, et al. Video-Assisted vs Robotic-Assisted Lung Lobectomies for Operating Room Resource Utilization and Patient Outcomes[J]. JAMA network open, 2024, 7(5): e248881. DOI: 10.1001/jamanetworkopen.2024.8881.</w:t>
      </w:r>
    </w:p>
    <w:p>
      <w:pPr>
        <w:spacing w:line="360" w:lineRule="auto"/>
        <w:ind w:firstLine="480"/>
      </w:pPr>
      <w:r>
        <w:rPr>
          <w:rFonts w:ascii="Times New Roman" w:hAnsi="Times New Roman" w:eastAsia="宋体"/>
          <w:b w:val="0"/>
          <w:sz w:val="24"/>
        </w:rPr>
        <w:t>[4] Härstedt M, Rogmark C, Sutton R, et al. Impact of comorbidity on 6-month hospital readmission and mortality after hip fracture surgery[J]. Injury, 2015, 46(4): 713-718. DOI: 10.1016/j.injury.2014.12.024.</w:t>
      </w:r>
    </w:p>
    <w:p>
      <w:pPr>
        <w:spacing w:line="360" w:lineRule="auto"/>
        <w:ind w:firstLine="480"/>
      </w:pPr>
      <w:r>
        <w:rPr>
          <w:rFonts w:ascii="Times New Roman" w:hAnsi="Times New Roman" w:eastAsia="宋体"/>
          <w:b w:val="0"/>
          <w:sz w:val="24"/>
        </w:rPr>
        <w:t>[5] García-Tirado J, Júdez-Legaristi D, Landa-Oviedo HS, et al. Unplanned readmission after lung resection surgery: A systematic review[J]. Cirugia espanola, 2019, 97(3): 128-144. DOI: 10.1016/j.ciresp.2018.11.005.</w:t>
      </w:r>
    </w:p>
    <w:p>
      <w:pPr>
        <w:spacing w:line="360" w:lineRule="auto"/>
        <w:ind w:firstLine="480"/>
      </w:pPr>
      <w:r>
        <w:rPr>
          <w:rFonts w:ascii="Times New Roman" w:hAnsi="Times New Roman" w:eastAsia="宋体"/>
          <w:b w:val="0"/>
          <w:sz w:val="24"/>
        </w:rPr>
        <w:t>[6] Mallick S, Aiken T, Varley P, et al. Readmissions From Venous Thromboembolism After Complex Cancer Surgery[J]. JAMA surgery, 2022, 157(4): 312. DOI: 10.1001/jamasurg.2021.7126.</w:t>
      </w:r>
    </w:p>
    <w:p>
      <w:pPr>
        <w:spacing w:line="360" w:lineRule="auto"/>
        <w:ind w:firstLine="480"/>
      </w:pPr>
      <w:r>
        <w:rPr>
          <w:rFonts w:ascii="Times New Roman" w:hAnsi="Times New Roman" w:eastAsia="宋体"/>
          <w:b w:val="0"/>
          <w:sz w:val="24"/>
        </w:rPr>
        <w:t>[7] Ray EM, Hinton SP, Reeder-Hayes KE. Risk Factors for Return to the Emergency Department and Readmission in Patients With Hospital-Diagnosed Advanced Lung Cancer[J]. Medical care, 2023, 61(4): 237-246. DOI: 10.1097/mlr.0000000000001829.</w:t>
      </w:r>
    </w:p>
    <w:p>
      <w:pPr>
        <w:spacing w:line="360" w:lineRule="auto"/>
        <w:ind w:firstLine="480"/>
      </w:pPr>
      <w:r>
        <w:rPr>
          <w:rFonts w:ascii="Times New Roman" w:hAnsi="Times New Roman" w:eastAsia="宋体"/>
          <w:b w:val="0"/>
          <w:sz w:val="24"/>
        </w:rPr>
        <w:t>[8] Madhavaram A, Wu S, Sharbaugh DR, et al. Factors Associated With Readmission to Index vs. Non-Index Hospitals After Major Cancer Surgery[J]. Cancer medicine, 2025, 14(24): e71359. DOI: 10.1002/cam4.71359.</w:t>
      </w:r>
    </w:p>
    <w:p>
      <w:pPr>
        <w:spacing w:line="360" w:lineRule="auto"/>
        <w:ind w:firstLine="480"/>
      </w:pPr>
      <w:r>
        <w:rPr>
          <w:rFonts w:ascii="Times New Roman" w:hAnsi="Times New Roman" w:eastAsia="宋体"/>
          <w:b w:val="0"/>
          <w:sz w:val="24"/>
        </w:rPr>
        <w:t>[9] Garfein J, Cholack G, Krallman R, et al. Cardiac Transitional Care Effectiveness: Does Overall Comorbidity Burden Matter?[J]. The American journal of medicine, 2021, 134(12): 1506-1513. DOI: 10.1016/j.amjmed.2021.06.018.</w:t>
      </w:r>
    </w:p>
    <w:p>
      <w:pPr>
        <w:spacing w:line="360" w:lineRule="auto"/>
        <w:ind w:firstLine="480"/>
      </w:pPr>
      <w:r>
        <w:rPr>
          <w:rFonts w:ascii="Times New Roman" w:hAnsi="Times New Roman" w:eastAsia="宋体"/>
          <w:b w:val="0"/>
          <w:sz w:val="24"/>
        </w:rPr>
        <w:t>[10] Rshaidat H, Whitehorn GL, Collins M, et al. Factors Associated With Margin Positivity After Lung Resection Surgery[J]. Clinical lung cancer, 2024, 25(6): 560-566. DOI: 10.1016/j.cllc.2024.03.007.</w:t>
      </w:r>
    </w:p>
    <w:p>
      <w:pPr>
        <w:spacing w:line="360" w:lineRule="auto"/>
        <w:ind w:firstLine="480"/>
      </w:pPr>
      <w:r>
        <w:rPr>
          <w:rFonts w:ascii="Times New Roman" w:hAnsi="Times New Roman" w:eastAsia="宋体"/>
          <w:b w:val="0"/>
          <w:sz w:val="24"/>
        </w:rPr>
        <w:t>[11] Puri V, Patel AP, Crabtree TD, et al. Unexpected readmission after lung cancer surgery: A benign event?[J]. The Journal of thoracic and cardiovascular surgery, 2015, 150(6): 1496-1505.e5. DOI: 10.1016/j.jtcvs.2015.08.067.</w:t>
      </w:r>
    </w:p>
    <w:p>
      <w:pPr>
        <w:spacing w:line="360" w:lineRule="auto"/>
        <w:ind w:firstLine="480"/>
      </w:pPr>
      <w:r>
        <w:rPr>
          <w:rFonts w:ascii="Times New Roman" w:hAnsi="Times New Roman" w:eastAsia="宋体"/>
          <w:b w:val="0"/>
          <w:sz w:val="24"/>
        </w:rPr>
        <w:t>[12] McDevitt J, Kelly M, Comber H, et al. A population-based study of hospital length of stay and emergency readmission following surgery for non-small-cell lung cancer[J]. European journal of cardio-thoracic surgery : official journal of the European Association for Cardio-thoracic Surgery, 2013, 44(4): e253-e259. DOI: 10.1093/ejcts/ezt389.</w:t>
      </w:r>
    </w:p>
    <w:p>
      <w:pPr>
        <w:spacing w:line="360" w:lineRule="auto"/>
        <w:ind w:firstLine="480"/>
      </w:pPr>
      <w:r>
        <w:rPr>
          <w:rFonts w:ascii="Times New Roman" w:hAnsi="Times New Roman" w:eastAsia="宋体"/>
          <w:b w:val="0"/>
          <w:sz w:val="24"/>
        </w:rPr>
        <w:t>[13] Ritt M, Gaßmann KG, Sieber CC. Significance of frailty for predicting adverse clinical outcomes in different patient groups with specific medical conditions[J]. Zeitschrift fur Gerontologie und Geriatrie, 2016, 49(7): 567-572. DOI: 10.1007/s00391-016-1128-8.</w:t>
      </w:r>
    </w:p>
    <w:p>
      <w:pPr>
        <w:spacing w:line="360" w:lineRule="auto"/>
        <w:ind w:firstLine="480"/>
      </w:pPr>
      <w:r>
        <w:rPr>
          <w:rFonts w:ascii="Times New Roman" w:hAnsi="Times New Roman" w:eastAsia="宋体"/>
          <w:b w:val="0"/>
          <w:sz w:val="24"/>
        </w:rPr>
        <w:t>[14] Akbari A, Fathabadi A, Razmi M, et al. Characteristics, risk factors, and outcomes associated with readmission in COVID-19 patients: A systematic review and meta-analysis[J]. The American journal of emergency medicine, 2022, 52: 166-173. DOI: 10.1016/j.ajem.2021.12.012.</w:t>
      </w:r>
    </w:p>
    <w:p>
      <w:pPr>
        <w:spacing w:line="360" w:lineRule="auto"/>
        <w:ind w:firstLine="480"/>
      </w:pPr>
      <w:r>
        <w:rPr>
          <w:rFonts w:ascii="Times New Roman" w:hAnsi="Times New Roman" w:eastAsia="宋体"/>
          <w:b w:val="0"/>
          <w:sz w:val="24"/>
        </w:rPr>
        <w:t>[15] Rivard C, Casserly K, Anderson M, et al. Factors influencing same-day hospital discharge and risk factors for readmission after robotic surgery in the gynecologic oncology patient population[J]. Journal of minimally invasive gynecology, 2015, 22(2): 219-226. DOI: 10.1016/j.jmig.2014.10.001.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