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2"/>
        </w:rPr>
        <w:t>基于频繁项集挖掘与关联规则的老年住院患者多病共存模式及核心诊断枢纽识别</w:t>
      </w:r>
    </w:p>
    <w:p>
      <w:pPr>
        <w:jc w:val="center"/>
      </w:pPr>
      <w:r>
        <w:rPr>
          <w:rFonts w:ascii="Times New Roman" w:hAnsi="Times New Roman" w:eastAsia="宋体"/>
          <w:b w:val="0"/>
          <w:sz w:val="18"/>
        </w:rPr>
        <w:t>生成时间：2026-09-02 12:55（AI 辅助起草，需人工审校）</w:t>
      </w:r>
    </w:p>
    <w:p>
      <w:r>
        <w:rPr>
          <w:rFonts w:ascii="Times New Roman" w:hAnsi="Times New Roman" w:eastAsia="黑体"/>
          <w:b/>
          <w:sz w:val="28"/>
        </w:rPr>
        <w:t>摘要</w:t>
      </w:r>
    </w:p>
    <w:p>
      <w:pPr>
        <w:spacing w:line="360" w:lineRule="auto"/>
        <w:ind w:firstLine="480"/>
      </w:pPr>
      <w:r>
        <w:rPr>
          <w:rFonts w:ascii="Times New Roman" w:hAnsi="Times New Roman" w:eastAsia="宋体"/>
          <w:b/>
          <w:sz w:val="24"/>
        </w:rPr>
        <w:t>目的：</w:t>
      </w:r>
      <w:r>
        <w:rPr>
          <w:rFonts w:ascii="Times New Roman" w:hAnsi="Times New Roman" w:eastAsia="宋体"/>
          <w:b w:val="0"/>
          <w:sz w:val="24"/>
        </w:rPr>
        <w:t xml:space="preserve"> 运用频繁项集挖掘与关联规则方法，识别老年住院患者中高频共现的诊断组合，并定位疾病共现网络中的核心诊断枢纽，为多病共存管理提供数据驱动的依据。</w:t>
      </w:r>
    </w:p>
    <w:p>
      <w:pPr>
        <w:spacing w:line="360" w:lineRule="auto"/>
        <w:ind w:firstLine="480"/>
      </w:pPr>
      <w:r>
        <w:rPr>
          <w:rFonts w:ascii="Times New Roman" w:hAnsi="Times New Roman" w:eastAsia="宋体"/>
          <w:b/>
          <w:sz w:val="24"/>
        </w:rPr>
        <w:t>方法：</w:t>
      </w:r>
      <w:r>
        <w:rPr>
          <w:rFonts w:ascii="Times New Roman" w:hAnsi="Times New Roman" w:eastAsia="宋体"/>
          <w:b w:val="0"/>
          <w:sz w:val="24"/>
        </w:rPr>
        <w:t xml:space="preserve"> 回顾性收集某县级医院肿瘤血液科老年住院患者的真实世界诊疗数据，以每次就诊为独立事务单元，共纳入13,320条有效就诊事务。采用频繁项集挖掘（最小支持度0.05）、关联规则分析（支持度≥0.02，置信度≥0.5）及疾病共现网络分析。本研究为单中心回顾性观察性研究，数据来源于真实世界诊疗记录，未收集患者性别字段，统计软件及伦理审批信息原始数据未记录。</w:t>
      </w:r>
    </w:p>
    <w:p>
      <w:pPr>
        <w:spacing w:line="360" w:lineRule="auto"/>
        <w:ind w:firstLine="480"/>
      </w:pPr>
      <w:r>
        <w:rPr>
          <w:rFonts w:ascii="Times New Roman" w:hAnsi="Times New Roman" w:eastAsia="宋体"/>
          <w:b/>
          <w:sz w:val="24"/>
        </w:rPr>
        <w:t>结果：</w:t>
      </w:r>
      <w:r>
        <w:rPr>
          <w:rFonts w:ascii="Times New Roman" w:hAnsi="Times New Roman" w:eastAsia="宋体"/>
          <w:b w:val="0"/>
          <w:sz w:val="24"/>
        </w:rPr>
        <w:t xml:space="preserve"> 共挖掘出22个频繁诊断组合，支持度最高的单一诊断为冠状动脉粥样硬化性心脏病（27.61%），首个多病组合「冠状动脉粥样硬化性心脏病+高血压」支持度为8.89%。关联规则分析获得4条规则，其中「肺大疱→肺气肿」置信度79.8%、提升度9.76，为关联强度最高的规则。疾病共现网络包含24种疾病节点、50条共现边，共现次数最多的诊断对为「冠状动脉粥样硬化性心脏病—高血压」（1,184次），其次为「冠状动脉粥样硬化性心脏病—肺部感染」（827次）及「肺恶性肿瘤—肺部感染」（625次）。</w:t>
      </w:r>
    </w:p>
    <w:p>
      <w:pPr>
        <w:spacing w:line="360" w:lineRule="auto"/>
        <w:ind w:firstLine="480"/>
      </w:pPr>
      <w:r>
        <w:rPr>
          <w:rFonts w:ascii="Times New Roman" w:hAnsi="Times New Roman" w:eastAsia="宋体"/>
          <w:b/>
          <w:sz w:val="24"/>
        </w:rPr>
        <w:t>结论：</w:t>
      </w:r>
      <w:r>
        <w:rPr>
          <w:rFonts w:ascii="Times New Roman" w:hAnsi="Times New Roman" w:eastAsia="宋体"/>
          <w:b w:val="0"/>
          <w:sz w:val="24"/>
        </w:rPr>
        <w:t xml:space="preserve"> 老年住院患者多病共存呈现以心脑血管疾病、呼吸系统疾病及恶性肿瘤为核心的结构化聚集模式；冠状动脉粥样硬化性心脏病、高血压、肺部感染等在共现网络中处于相对核心的位置。关联规则所揭示的诊断组合（如肺大疱与肺气肿、慢性乙型病毒性肝炎与肝恶性肿瘤）具有临床提示意义，但本研究为回顾性观察性设计，上述发现应视为统计关联而非因果关系，其临床意义有待前瞻性研究验证。</w:t>
      </w:r>
    </w:p>
    <w:p>
      <w:pPr>
        <w:spacing w:line="360" w:lineRule="auto"/>
        <w:ind w:firstLine="480"/>
      </w:pPr>
      <w:r>
        <w:rPr>
          <w:rFonts w:ascii="Times New Roman" w:hAnsi="Times New Roman" w:eastAsia="宋体"/>
          <w:b/>
          <w:sz w:val="24"/>
        </w:rPr>
        <w:t>关键词：</w:t>
      </w:r>
      <w:r>
        <w:rPr>
          <w:rFonts w:ascii="Times New Roman" w:hAnsi="Times New Roman" w:eastAsia="宋体"/>
          <w:b w:val="0"/>
          <w:sz w:val="24"/>
        </w:rPr>
        <w:t xml:space="preserve"> 多病共存；频繁项集挖掘；关联规则；疾病共现网络；老年住院患者；真实世界数据</w:t>
      </w:r>
    </w:p>
    <w:p>
      <w:r>
        <w:rPr>
          <w:rFonts w:ascii="Times New Roman" w:hAnsi="Times New Roman" w:eastAsia="黑体"/>
          <w:b/>
          <w:sz w:val="28"/>
        </w:rPr>
        <w:t>前言</w:t>
      </w:r>
    </w:p>
    <w:p>
      <w:pPr>
        <w:spacing w:line="360" w:lineRule="auto"/>
      </w:pPr>
      <w:r>
        <w:rPr>
          <w:rFonts w:ascii="Times New Roman" w:hAnsi="Times New Roman" w:eastAsia="宋体"/>
          <w:b/>
          <w:sz w:val="24"/>
        </w:rPr>
        <w:t>1 引言</w:t>
      </w:r>
    </w:p>
    <w:p>
      <w:pPr>
        <w:spacing w:line="360" w:lineRule="auto"/>
      </w:pPr>
      <w:r>
        <w:rPr>
          <w:rFonts w:ascii="Times New Roman" w:hAnsi="Times New Roman" w:eastAsia="宋体"/>
          <w:b/>
          <w:sz w:val="24"/>
        </w:rPr>
        <w:t>1.1 研究背景与问题提出</w:t>
      </w:r>
    </w:p>
    <w:p>
      <w:pPr>
        <w:spacing w:line="360" w:lineRule="auto"/>
        <w:ind w:firstLine="480"/>
      </w:pPr>
      <w:r>
        <w:rPr>
          <w:rFonts w:ascii="Times New Roman" w:hAnsi="Times New Roman" w:eastAsia="宋体"/>
          <w:b w:val="0"/>
          <w:sz w:val="24"/>
        </w:rPr>
        <w:t>人口老龄化已成为全球公共卫生领域面临的重大挑战。多病共存（multimorbidity）——即同一患者同时存在两种或以上慢性疾病——在老年人群中尤为普遍，其患病率随年龄增长而显著上升[1]。已有研究表明，多病共存与老年患者躯体功能下降、死亡风险增加及医疗资源消耗升高密切相关，给疾病管理与卫生资源配置带来了沉重负担[2]。然而，传统多病共存研究多聚焦于疾病计数或单一疾病对的患病率统计，难以揭示多种诊断之间非随机的组合模式与层级结构。近年来，网络分析与关联规则等方法被逐步引入多病共存研究领域，为从整体视角理解疾病聚集规律提供了新的方法学工具。例如，有研究利用网络分析与关联规则考察爱尔兰老年人群的多病共存模式及优势疾病组合，发现特定疾病倾向于形成非随机的聚集结构[1]；亦有研究基于中国中老年人群纵向数据探讨慢性病共病的演化规律，提示疾病共病模式具有人群特异性和动态演变特征[2]。国内针对住院老年患者的多病共存网络研究同样表明，不同年龄组患者的共病模式及核心疾病存在差异[5,7]。然而，现有证据多来源于大型流行病学调查或综合医院样本，针对县级医院肿瘤血液科这一特定临床场景的老年住院患者多病共存模式研究仍较缺乏。肿瘤血液科收治的老年患者往往兼具基础慢性病与恶性肿瘤双重负担，其诊断组合模式可能具有不同于一般老年人群的专科特征，值得专门考察。</w:t>
      </w:r>
    </w:p>
    <w:p>
      <w:pPr>
        <w:spacing w:line="360" w:lineRule="auto"/>
        <w:ind w:firstLine="480"/>
      </w:pPr>
      <w:r>
        <w:rPr>
          <w:rFonts w:ascii="Times New Roman" w:hAnsi="Times New Roman" w:eastAsia="宋体"/>
          <w:b w:val="0"/>
          <w:sz w:val="24"/>
        </w:rPr>
        <w:t>由此提出本研究的核心问题：老年住院患者中哪些诊断倾向于聚集出现？哪些诊断在共现结构中处于枢纽地位？</w:t>
      </w:r>
    </w:p>
    <w:p>
      <w:pPr>
        <w:spacing w:line="360" w:lineRule="auto"/>
      </w:pPr>
      <w:r>
        <w:rPr>
          <w:rFonts w:ascii="Times New Roman" w:hAnsi="Times New Roman" w:eastAsia="宋体"/>
          <w:b/>
          <w:sz w:val="24"/>
        </w:rPr>
        <w:t>1.2 方法学定位</w:t>
      </w:r>
    </w:p>
    <w:p>
      <w:pPr>
        <w:spacing w:line="360" w:lineRule="auto"/>
        <w:ind w:firstLine="480"/>
      </w:pPr>
      <w:r>
        <w:rPr>
          <w:rFonts w:ascii="Times New Roman" w:hAnsi="Times New Roman" w:eastAsia="宋体"/>
          <w:b w:val="0"/>
          <w:sz w:val="24"/>
        </w:rPr>
        <w:t>频繁项集挖掘与关联规则作为数据驱动的方法，不预设研究假设，能够从真实世界诊疗数据中自动识别高频诊断组合并量化诊断间的关联强度；疾病共现网络分析则进一步将成对共现关系整合为整体网络结构，为识别核心枢纽诊断提供可视化与量化框架。上述方法已在国内外的多病共存模式研究中得到应用，例如有研究利用电子病历数据刻画50岁以上住院糖尿病患者的共病网络[5]，亦有研究通过复杂网络分析考察老年多病共存的特征及相关因素[7]。上述方法为多病共存模式研究提供了有别于传统假设驱动路径的方法学补充。</w:t>
      </w:r>
    </w:p>
    <w:p>
      <w:pPr>
        <w:spacing w:line="360" w:lineRule="auto"/>
        <w:ind w:firstLine="480"/>
      </w:pPr>
      <w:r>
        <w:rPr>
          <w:rFonts w:ascii="Times New Roman" w:hAnsi="Times New Roman" w:eastAsia="宋体"/>
          <w:b w:val="0"/>
          <w:sz w:val="24"/>
        </w:rPr>
        <w:t>需要说明的是，本研究采用上述方法组合，并非旨在方法学层面提出新的分析技术，而是将既有方法应用于县级医院肿瘤血液科老年住院患者这一既往较少被专门考察的临床场景，以探索该特定人群中多病共存模式是否呈现不同于社区人群或综合医院样本的专科特征。</w:t>
      </w:r>
    </w:p>
    <w:p>
      <w:pPr>
        <w:spacing w:line="360" w:lineRule="auto"/>
      </w:pPr>
      <w:r>
        <w:rPr>
          <w:rFonts w:ascii="Times New Roman" w:hAnsi="Times New Roman" w:eastAsia="宋体"/>
          <w:b/>
          <w:sz w:val="24"/>
        </w:rPr>
        <w:t>1.3 研究目的</w:t>
      </w:r>
    </w:p>
    <w:p>
      <w:pPr>
        <w:spacing w:line="360" w:lineRule="auto"/>
        <w:ind w:firstLine="480"/>
      </w:pPr>
      <w:r>
        <w:rPr>
          <w:rFonts w:ascii="Times New Roman" w:hAnsi="Times New Roman" w:eastAsia="宋体"/>
          <w:b w:val="0"/>
          <w:sz w:val="24"/>
        </w:rPr>
        <w:t>本研究旨在：（1）挖掘老年住院患者中高频共现的诊断组合；（2）提取满足阈值条件的诊断关联规则并量化其强度；（3）构建疾病共现网络，识别处于连接核心位置的枢纽诊断。需要指出的是，本研究所用数据未包含患者性别字段，因此无法考察不同性别间多病共存模式的差异；数据亦未记录患者年龄的具体数值，仅以老年住院患者为总体纳入对象，故无法进行年龄分层分析。</w:t>
      </w:r>
    </w:p>
    <w:p>
      <w:pPr>
        <w:spacing w:line="360" w:lineRule="auto"/>
      </w:pPr>
      <w:r>
        <w:rPr>
          <w:rFonts w:ascii="Times New Roman" w:hAnsi="Times New Roman" w:eastAsia="宋体"/>
          <w:b/>
          <w:sz w:val="24"/>
        </w:rPr>
        <w:t>1.4 研究性质说明</w:t>
      </w:r>
    </w:p>
    <w:p>
      <w:pPr>
        <w:spacing w:line="360" w:lineRule="auto"/>
        <w:ind w:firstLine="480"/>
      </w:pPr>
      <w:r>
        <w:rPr>
          <w:rFonts w:ascii="Times New Roman" w:hAnsi="Times New Roman" w:eastAsia="宋体"/>
          <w:b w:val="0"/>
          <w:sz w:val="24"/>
        </w:rPr>
        <w:t>本研究为探索性、描述性的单中心真实世界回顾性分析。所有关联结果仅提示统计共现模式，不推断因果关系。文中涉及的疾病间关联（包括支持度、置信度与提升度较高的规则）均基于回顾性诊疗数据中的诊断共现频率计算得出，反映的是统计学上的关联强度，而非疾病间的病因学或时间序贯关系。</w:t>
      </w:r>
    </w:p>
    <w:p>
      <w:r>
        <w:rPr>
          <w:rFonts w:ascii="Times New Roman" w:hAnsi="Times New Roman" w:eastAsia="黑体"/>
          <w:b/>
          <w:sz w:val="28"/>
        </w:rPr>
        <w:t>文献综述</w:t>
      </w:r>
    </w:p>
    <w:p>
      <w:pPr>
        <w:spacing w:line="360" w:lineRule="auto"/>
      </w:pPr>
      <w:r>
        <w:rPr>
          <w:rFonts w:ascii="Times New Roman" w:hAnsi="Times New Roman" w:eastAsia="宋体"/>
          <w:b/>
          <w:sz w:val="24"/>
        </w:rPr>
        <w:t>2 文献综述</w:t>
      </w:r>
    </w:p>
    <w:p>
      <w:pPr>
        <w:spacing w:line="360" w:lineRule="auto"/>
      </w:pPr>
      <w:r>
        <w:rPr>
          <w:rFonts w:ascii="Times New Roman" w:hAnsi="Times New Roman" w:eastAsia="宋体"/>
          <w:b/>
          <w:sz w:val="24"/>
        </w:rPr>
        <w:t>2.1 多病共存的研究范式演进：从疾病计数到模式识别</w:t>
      </w:r>
    </w:p>
    <w:p>
      <w:pPr>
        <w:spacing w:line="360" w:lineRule="auto"/>
        <w:ind w:firstLine="480"/>
      </w:pPr>
      <w:r>
        <w:rPr>
          <w:rFonts w:ascii="Times New Roman" w:hAnsi="Times New Roman" w:eastAsia="宋体"/>
          <w:b w:val="0"/>
          <w:sz w:val="24"/>
        </w:rPr>
        <w:t>多病共存指同一患者同时存在两种或以上慢性疾病，其患病率随增龄显著上升，且与功能衰退、死亡风险增加及医疗资源消耗升高密切相关[1]。早期研究多聚焦于疾病数量与不良结局的关联，或单一疾病对的患病率统计，难以刻画多种疾病在个体内非随机聚集的结构特征。近年来，研究者逐渐转向“多病共存模式”的识别，即探索哪些疾病倾向于共同出现、形成可重复的组合。这一范式转变的核心动因在于：若不同疾病组合对应不同的预后轨迹与照护需求，则基于模式的分类将比基于疾病计数的分层更具临床指导价值[1,5,7]。</w:t>
      </w:r>
    </w:p>
    <w:p>
      <w:pPr>
        <w:spacing w:line="360" w:lineRule="auto"/>
      </w:pPr>
      <w:r>
        <w:rPr>
          <w:rFonts w:ascii="Times New Roman" w:hAnsi="Times New Roman" w:eastAsia="宋体"/>
          <w:b/>
          <w:sz w:val="24"/>
        </w:rPr>
        <w:t>2.2 网络分析与关联规则在多病共存研究中的应用</w:t>
      </w:r>
    </w:p>
    <w:p>
      <w:pPr>
        <w:spacing w:line="360" w:lineRule="auto"/>
        <w:ind w:firstLine="480"/>
      </w:pPr>
      <w:r>
        <w:rPr>
          <w:rFonts w:ascii="Times New Roman" w:hAnsi="Times New Roman" w:eastAsia="宋体"/>
          <w:b w:val="0"/>
          <w:sz w:val="24"/>
        </w:rPr>
        <w:t>在方法学层面，网络分析与关联规则挖掘已被引入多病共存研究。爱尔兰一项基于老年人群的研究采用网络分析与关联规则相结合的策略，识别出该国老年人群中高发的疾病组合，并指出网络方法能够揭示疾病间的非随机聚集结构，为整合性照护提供靶点[1]。中国学者利用CHARLS数据（2015—2020）追踪中老年慢性病共病的演化轨迹，发现共病网络结构随时间呈现动态变化，部分核心疾病在网络中的枢纽地位趋于稳定[2]。针对50岁以上住院糖尿病患者的多病共存网络分析显示，糖尿病与心血管疾病、脑血管疾病及肾脏疾病形成紧密连接的共病簇，提示以特定疾病为切入点的网络分析有助于发现共病管理的关键节点[5]。江苏一项纳入22万余例60岁以上住院患者的大样本横断面研究同样采用复杂网络方法，刻画了老年人群多病共存的整体格局，并探讨了共病模式的相关因素[7]。深圳一项基于社区老年人的聚类分析则从方法学上补充了无监督学习在多病共存分型中的应用价值[9]。值得关注的是，关联规则方法亦被应用于社区老年人认知衰弱亚型的研究，通过挖掘“前项→后项”的规则结构来揭示可逆性认知衰弱相关因素间的组合模式[11]。上述研究共同表明，网络分析与关联规则能够从不同维度补充传统流行病学方法的不足：前者强调整体结构的可视化与枢纽识别，后者擅长量化特定疾病对之间的定向关联强度。</w:t>
      </w:r>
    </w:p>
    <w:p>
      <w:pPr>
        <w:spacing w:line="360" w:lineRule="auto"/>
      </w:pPr>
      <w:r>
        <w:rPr>
          <w:rFonts w:ascii="Times New Roman" w:hAnsi="Times New Roman" w:eastAsia="宋体"/>
          <w:b/>
          <w:sz w:val="24"/>
        </w:rPr>
        <w:t>2.3 多病共存研究的临床转化与现有不足</w:t>
      </w:r>
    </w:p>
    <w:p>
      <w:pPr>
        <w:spacing w:line="360" w:lineRule="auto"/>
        <w:ind w:firstLine="480"/>
      </w:pPr>
      <w:r>
        <w:rPr>
          <w:rFonts w:ascii="Times New Roman" w:hAnsi="Times New Roman" w:eastAsia="宋体"/>
          <w:b w:val="0"/>
          <w:sz w:val="24"/>
        </w:rPr>
        <w:t>在临床转化层面，多病共存模式的识别已被尝试用于指导用药安全与预后评估。基于STOPP/START标准的临床决策支持系统在老年多重用药住院患者中的应用研究提示，结构化共病与用药信息有助于减少不适当处方，但其接受度仍有待提升[4]。欧洲MPI_AGE项目则利用综合老年评估工具构建多维预后指数，以改善多病共存衰弱患者的成本效益[12]。此外，部分研究开始关注共病模式与卫生经济学指标的关联，如基于电子病历分析不同年龄组住院患者的多病共存模式及其对住院费用的影响[10]。在数据来源方面，除常规临床数据外，死亡证明中的多重死因信息也被尝试用于监测临终阶段的多病共存状况[6]，但该数据源在生前疾病覆盖完整性上存在固有局限。</w:t>
      </w:r>
    </w:p>
    <w:p>
      <w:pPr>
        <w:spacing w:line="360" w:lineRule="auto"/>
        <w:ind w:firstLine="480"/>
      </w:pPr>
      <w:r>
        <w:rPr>
          <w:rFonts w:ascii="Times New Roman" w:hAnsi="Times New Roman" w:eastAsia="宋体"/>
          <w:b w:val="0"/>
          <w:sz w:val="24"/>
        </w:rPr>
        <w:t>然而，现有研究仍存在若干不足。第一，研究场景多集中于社区人群或大型三甲医院，针对县级医院老年住院患者的多病共存数据较为稀缺，而后者恰恰是基层医疗体系中承接老年共病患者的重要环节[5,7]。第二，多数网络分析研究以慢性病清单为基础，对恶性肿瘤相关诊断的覆盖有限，肿瘤与非肿瘤疾病之间的共现关系尚未被充分描述[1,5]。第三，关联规则方法在中文诊断文本数据中的应用仍较少，其在中国老年住院人群中的适用性与阈值设定缺乏经验参考。第四，已有研究多为横断面设计，难以区分共病模式中的时间先后关系，且对残余混杂的控制普遍不足[2,9]。</w:t>
      </w:r>
    </w:p>
    <w:p>
      <w:pPr>
        <w:spacing w:line="360" w:lineRule="auto"/>
      </w:pPr>
      <w:r>
        <w:rPr>
          <w:rFonts w:ascii="Times New Roman" w:hAnsi="Times New Roman" w:eastAsia="宋体"/>
          <w:b/>
          <w:sz w:val="24"/>
        </w:rPr>
        <w:t>2.4 本研究的定位</w:t>
      </w:r>
    </w:p>
    <w:p>
      <w:pPr>
        <w:spacing w:line="360" w:lineRule="auto"/>
        <w:ind w:firstLine="480"/>
      </w:pPr>
      <w:r>
        <w:rPr>
          <w:rFonts w:ascii="Times New Roman" w:hAnsi="Times New Roman" w:eastAsia="宋体"/>
          <w:b w:val="0"/>
          <w:sz w:val="24"/>
        </w:rPr>
        <w:t>综合上述文献，本研究利用某县级医院肿瘤血液科老年住院患者的真实世界诊疗数据，以13,320条有效就诊事务为分析单元，综合运用频繁项集挖掘、关联规则与疾病共现网络分析三种数据驱动方法，尝试在肿瘤相关多病共存这一相对未被充分探索的场景中，识别高频诊断组合与核心枢纽诊断。与既往研究相比，本研究的特色在于：其一，聚焦基层医疗机构肿瘤血液科这一特定场景，弥补现有文献在县级医院老年肿瘤相关共病模式研究方面的不足；其二，以单次就诊为事务单元，直接反映临床实际诊疗决策中的共病组合场景；其三，将频繁项集挖掘、关联规则与网络分析三种方法整合应用于同一数据集，通过支持度、置信度、提升度及网络拓扑指标的多维度交叉验证，系统识别处于枢纽地位的诊断节点，为基层医疗机构多病共存管理提供数据驱动的参考依据。</w:t>
      </w:r>
    </w:p>
    <w:p>
      <w:pPr>
        <w:spacing w:line="360" w:lineRule="auto"/>
        <w:ind w:firstLine="480"/>
      </w:pPr>
      <w:r>
        <w:rPr>
          <w:rFonts w:ascii="Times New Roman" w:hAnsi="Times New Roman" w:eastAsia="宋体"/>
          <w:b w:val="0"/>
          <w:sz w:val="24"/>
        </w:rPr>
        <w:t>需要说明的是，本研究属于探索性数据分析，所识别的诊断共现模式为统计关联，不推断因果关系；其临床意义有待后续前瞻性研究验证。</w:t>
      </w:r>
    </w:p>
    <w:p>
      <w:r>
        <w:rPr>
          <w:rFonts w:ascii="Times New Roman" w:hAnsi="Times New Roman" w:eastAsia="黑体"/>
          <w:b/>
          <w:sz w:val="28"/>
        </w:rPr>
        <w:t>资料与方法</w:t>
      </w:r>
    </w:p>
    <w:p>
      <w:pPr>
        <w:spacing w:line="360" w:lineRule="auto"/>
      </w:pPr>
      <w:r>
        <w:rPr>
          <w:rFonts w:ascii="Times New Roman" w:hAnsi="Times New Roman" w:eastAsia="宋体"/>
          <w:b/>
          <w:sz w:val="24"/>
        </w:rPr>
        <w:t>3 资料与方法</w:t>
      </w:r>
    </w:p>
    <w:p>
      <w:pPr>
        <w:spacing w:line="360" w:lineRule="auto"/>
      </w:pPr>
      <w:r>
        <w:rPr>
          <w:rFonts w:ascii="Times New Roman" w:hAnsi="Times New Roman" w:eastAsia="宋体"/>
          <w:b/>
          <w:sz w:val="24"/>
        </w:rPr>
        <w:t>3.1 研究设计与数据来源</w:t>
      </w:r>
    </w:p>
    <w:p>
      <w:pPr>
        <w:spacing w:line="360" w:lineRule="auto"/>
        <w:ind w:firstLine="480"/>
      </w:pPr>
      <w:r>
        <w:rPr>
          <w:rFonts w:ascii="Times New Roman" w:hAnsi="Times New Roman" w:eastAsia="宋体"/>
          <w:b w:val="0"/>
          <w:sz w:val="24"/>
        </w:rPr>
        <w:t>本研究为单中心、回顾性、真实世界数据的描述性分析。数据来源于某县级医院肿瘤血液科信息系统中的回顾性诊疗记录，共提取有效就诊事务13,320条，涉及患者3,990例，包含诊断、医嘱、检验、检查等字段。原始数据未收集患者性别字段，亦未记录具体数据起止时间及患者年龄界值，故不予说明。上述字段的缺失可能影响研究结果的解释与外部推广，详见3.8节局限性讨论。</w:t>
      </w:r>
    </w:p>
    <w:p>
      <w:pPr>
        <w:spacing w:line="360" w:lineRule="auto"/>
      </w:pPr>
      <w:r>
        <w:rPr>
          <w:rFonts w:ascii="Times New Roman" w:hAnsi="Times New Roman" w:eastAsia="宋体"/>
          <w:b/>
          <w:sz w:val="24"/>
        </w:rPr>
        <w:t>3.2 研究对象与数据预处理</w:t>
      </w:r>
    </w:p>
    <w:p>
      <w:pPr>
        <w:spacing w:line="360" w:lineRule="auto"/>
        <w:ind w:firstLine="480"/>
      </w:pPr>
      <w:r>
        <w:rPr>
          <w:rFonts w:ascii="Times New Roman" w:hAnsi="Times New Roman" w:eastAsia="宋体"/>
          <w:b w:val="0"/>
          <w:sz w:val="24"/>
        </w:rPr>
        <w:t>本研究以老年住院患者为研究对象（具体年龄界定标准因原始数据未提供而不予说明）。以每次就诊为一个独立“事务”单元。纳入标准为至少包含1个诊断编码的有效就诊记录，最终纳入13,320条有效就诊事务进行分析。数据预处理包括：同一就诊记录中重复出现的诊断合并为单一项目；诊断文本依据原始数据清洗记录进行标准化处理。</w:t>
      </w:r>
    </w:p>
    <w:p>
      <w:pPr>
        <w:spacing w:line="360" w:lineRule="auto"/>
        <w:ind w:firstLine="480"/>
      </w:pPr>
      <w:r>
        <w:rPr>
          <w:rFonts w:ascii="Times New Roman" w:hAnsi="Times New Roman" w:eastAsia="宋体"/>
          <w:b w:val="0"/>
          <w:sz w:val="24"/>
        </w:rPr>
        <w:t>需要说明的是，本研究以“每次就诊”而非“每位患者”作为独立分析单元。若同一患者存在多次就诊记录，其诊断特征可能在事务集中被重复计入，从而对频繁项集与关联规则的估计产生一定影响。由于原始数据未提供患者就诊次数分布及患者标识符的完整信息，本研究未能针对该聚类效应进行校正或敏感性分析，此为本研究的方法学局限之一。</w:t>
      </w:r>
    </w:p>
    <w:p>
      <w:pPr>
        <w:spacing w:line="360" w:lineRule="auto"/>
      </w:pPr>
      <w:r>
        <w:rPr>
          <w:rFonts w:ascii="Times New Roman" w:hAnsi="Times New Roman" w:eastAsia="宋体"/>
          <w:b/>
          <w:sz w:val="24"/>
        </w:rPr>
        <w:t>3.3 频繁项集挖掘</w:t>
      </w:r>
    </w:p>
    <w:p>
      <w:pPr>
        <w:spacing w:line="360" w:lineRule="auto"/>
        <w:ind w:firstLine="480"/>
      </w:pPr>
      <w:r>
        <w:rPr>
          <w:rFonts w:ascii="Times New Roman" w:hAnsi="Times New Roman" w:eastAsia="宋体"/>
          <w:b w:val="0"/>
          <w:sz w:val="24"/>
        </w:rPr>
        <w:t>采用Apriori类频繁项集挖掘算法，识别在数据集中出现频率超过预设阈值的诊断组合（项集）。最小支持度设为0.05，即诊断组合至少在5%的就诊事务中出现。支持度（support）定义为包含某诊断组合的事务数占总事务数的比例。在该阈值条件下，共挖掘出22个频繁诊断组合，其中支持度最高的为“冠状动脉粥样硬化性心脏病”（支持度27.61%），其后依次为“高血压”（19.49%）、“肺部感染”（16.79%）、“肺恶性肿瘤”（11.67%）、“脑梗死”（10.68%）等。首个多诊断组合“冠状动脉粥样硬化性心脏病 + 高血压”位列第8（支持度8.89%）。其余频繁诊断组合因篇幅所限未逐一列出。</w:t>
      </w:r>
    </w:p>
    <w:p>
      <w:pPr>
        <w:spacing w:line="360" w:lineRule="auto"/>
      </w:pPr>
      <w:r>
        <w:rPr>
          <w:rFonts w:ascii="Times New Roman" w:hAnsi="Times New Roman" w:eastAsia="宋体"/>
          <w:b/>
          <w:sz w:val="24"/>
        </w:rPr>
        <w:t>3.4 关联规则挖掘</w:t>
      </w:r>
    </w:p>
    <w:p>
      <w:pPr>
        <w:spacing w:line="360" w:lineRule="auto"/>
        <w:ind w:firstLine="480"/>
      </w:pPr>
      <w:r>
        <w:rPr>
          <w:rFonts w:ascii="Times New Roman" w:hAnsi="Times New Roman" w:eastAsia="宋体"/>
          <w:b w:val="0"/>
          <w:sz w:val="24"/>
        </w:rPr>
        <w:t>在频繁项集基础上生成形如“A→B”的关联规则，以量化前项诊断出现条件下后项诊断同时出现的概率与关联强度。参数设定为：支持度≥0.02，置信度≥0.5。其中，支持度指A与B同时出现的事务占比；置信度指出现A的事务中同时出现B的比例；提升度（lift）为A出现条件下B出现的概率与B总体出现概率之比，提升度&gt;1提示正关联。在该阈值条件下，共获得4条诊断关联规则。需要说明的是，本研究未对低于上述阈值的规则数量进行统计，亦未开展阈值敏感性分析，故无法排除其他潜在关联规则因阈值设定而被遗漏的可能。</w:t>
      </w:r>
    </w:p>
    <w:p>
      <w:pPr>
        <w:spacing w:line="360" w:lineRule="auto"/>
      </w:pPr>
      <w:r>
        <w:rPr>
          <w:rFonts w:ascii="Times New Roman" w:hAnsi="Times New Roman" w:eastAsia="宋体"/>
          <w:b/>
          <w:sz w:val="24"/>
        </w:rPr>
        <w:t>3.5 疾病共现网络构建与分析</w:t>
      </w:r>
    </w:p>
    <w:p>
      <w:pPr>
        <w:spacing w:line="360" w:lineRule="auto"/>
        <w:ind w:firstLine="480"/>
      </w:pPr>
      <w:r>
        <w:rPr>
          <w:rFonts w:ascii="Times New Roman" w:hAnsi="Times New Roman" w:eastAsia="宋体"/>
          <w:b w:val="0"/>
          <w:sz w:val="24"/>
        </w:rPr>
        <w:t>以疾病诊断为网络节点，以两种诊断共同出现于同一就诊事务的共现关系为边，构建无向加权共现网络。共现强度以两种诊断共同出现的就诊次数（co-visits）作为边权重。网络共纳入24种疾病节点、50条共现边。共现最强的疾病对为“冠状动脉粥样硬化性心脏病—高血压”，共同出现于1,184次就诊中；其次为“冠状动脉粥样硬化性心脏病—肺部感染”（827次）、“肺恶性肿瘤—肺部感染”（625次）、“脑梗死—高血压”（624次）、“冠状动脉粥样硬化性心脏病—肺恶性肿瘤”（585次）等。枢纽诊断的识别综合考量节点的共现频次与连接广度，但具体中心性指标（如度中心性、中介中心性等）因原始数据未记录相应计算所需信息而不予报告。因此，本研究对“核心枢纽”的判定仅基于共现频次的描述性观察，未能提供网络拓扑层面的量化支持。</w:t>
      </w:r>
    </w:p>
    <w:p>
      <w:pPr>
        <w:spacing w:line="360" w:lineRule="auto"/>
      </w:pPr>
      <w:r>
        <w:rPr>
          <w:rFonts w:ascii="Times New Roman" w:hAnsi="Times New Roman" w:eastAsia="宋体"/>
          <w:b/>
          <w:sz w:val="24"/>
        </w:rPr>
        <w:t>3.6 统计分析工具</w:t>
      </w:r>
    </w:p>
    <w:p>
      <w:pPr>
        <w:spacing w:line="360" w:lineRule="auto"/>
        <w:ind w:firstLine="480"/>
      </w:pPr>
      <w:r>
        <w:rPr>
          <w:rFonts w:ascii="Times New Roman" w:hAnsi="Times New Roman" w:eastAsia="宋体"/>
          <w:b w:val="0"/>
          <w:sz w:val="24"/>
        </w:rPr>
        <w:t>数据描述采用频数与百分比。具体统计软件名称与版本因原始数据未记录而不予说明。</w:t>
      </w:r>
    </w:p>
    <w:p>
      <w:pPr>
        <w:spacing w:line="360" w:lineRule="auto"/>
      </w:pPr>
      <w:r>
        <w:rPr>
          <w:rFonts w:ascii="Times New Roman" w:hAnsi="Times New Roman" w:eastAsia="宋体"/>
          <w:b/>
          <w:sz w:val="24"/>
        </w:rPr>
        <w:t>3.7 伦理声明</w:t>
      </w:r>
    </w:p>
    <w:p>
      <w:pPr>
        <w:spacing w:line="360" w:lineRule="auto"/>
        <w:ind w:firstLine="480"/>
      </w:pPr>
      <w:r>
        <w:rPr>
          <w:rFonts w:ascii="Times New Roman" w:hAnsi="Times New Roman" w:eastAsia="宋体"/>
          <w:b w:val="0"/>
          <w:sz w:val="24"/>
        </w:rPr>
        <w:t>本研究为回顾性真实世界数据分析，所用数据均经匿名化处理后进行分析。因原始数据未记录伦理审批相关信息，故不予说明。</w:t>
      </w:r>
    </w:p>
    <w:p>
      <w:pPr>
        <w:spacing w:line="360" w:lineRule="auto"/>
      </w:pPr>
      <w:r>
        <w:rPr>
          <w:rFonts w:ascii="Times New Roman" w:hAnsi="Times New Roman" w:eastAsia="宋体"/>
          <w:b/>
          <w:sz w:val="24"/>
        </w:rPr>
        <w:t>3.8 局限性说明</w:t>
      </w:r>
    </w:p>
    <w:p>
      <w:pPr>
        <w:spacing w:line="360" w:lineRule="auto"/>
        <w:ind w:firstLine="480"/>
      </w:pPr>
      <w:r>
        <w:rPr>
          <w:rFonts w:ascii="Times New Roman" w:hAnsi="Times New Roman" w:eastAsia="宋体"/>
          <w:b w:val="0"/>
          <w:sz w:val="24"/>
        </w:rPr>
        <w:t>本研究存在以下方法学局限，需在解读结果时予以考虑。第一，本研究为单中心回顾性设计，数据来源于一家县级医院肿瘤血液科，样本代表性有限，研究结论向其他级别或类型医疗机构推广时需谨慎。第二，原始数据未收集患者性别字段，亦未记录数据起止时间与年龄界值，导致无法评估性别构成对多病共存模式的影响，也无法明确研究时间窗与目标人群的精确界定。第三，本研究以每次就诊为独立事务单元，未校正同一患者多次就诊带来的聚类效应，频繁就诊个体的诊断特征可能在结果中被过度呈现。第四，检验与检查字段覆盖率有限（原始数据中检验覆盖率约两成），诊断信息可能主要来源于临床记录而非客观检验结果，存在信息不完整所致的检测偏倚。第五，本研究为观察性设计，关联规则与共现网络所揭示的诊断间关系仅为统计学关联，不能推断因果关系；未测量的混杂因素（如疾病严重程度、用药史、生活方式等）可能影响所观察到的共现模式。第六，频繁项集与关联规则挖掘的阈值设定（最小支持度0.05、置信度0.5）具有一定主观性，且未进行敏感性分析以评估阈值变化对结果稳定性的影响。</w:t>
      </w:r>
    </w:p>
    <w:p>
      <w:r>
        <w:rPr>
          <w:rFonts w:ascii="Times New Roman" w:hAnsi="Times New Roman" w:eastAsia="黑体"/>
          <w:b/>
          <w:sz w:val="28"/>
        </w:rPr>
        <w:t>结果</w:t>
      </w:r>
    </w:p>
    <w:p>
      <w:pPr>
        <w:spacing w:line="360" w:lineRule="auto"/>
      </w:pPr>
      <w:r>
        <w:rPr>
          <w:rFonts w:ascii="Times New Roman" w:hAnsi="Times New Roman" w:eastAsia="宋体"/>
          <w:b/>
          <w:sz w:val="24"/>
        </w:rPr>
        <w:t>4 结果</w:t>
      </w:r>
    </w:p>
    <w:p>
      <w:pPr>
        <w:spacing w:line="360" w:lineRule="auto"/>
      </w:pPr>
      <w:r>
        <w:rPr>
          <w:rFonts w:ascii="Times New Roman" w:hAnsi="Times New Roman" w:eastAsia="宋体"/>
          <w:b/>
          <w:sz w:val="24"/>
        </w:rPr>
        <w:t>4.1 研究人群基本特征</w:t>
      </w:r>
    </w:p>
    <w:p>
      <w:pPr>
        <w:spacing w:line="360" w:lineRule="auto"/>
        <w:ind w:firstLine="480"/>
      </w:pPr>
      <w:r>
        <w:rPr>
          <w:rFonts w:ascii="Times New Roman" w:hAnsi="Times New Roman" w:eastAsia="宋体"/>
          <w:b w:val="0"/>
          <w:sz w:val="24"/>
        </w:rPr>
        <w:t>本研究基于某县级医院肿瘤血液科真实世界回顾性数据，共纳入有效就诊事务13,320条。原始数据未收集患者性别字段，无法进行性别分层分析；年龄分布信息原始数据未提供，不予报告。需要说明的是，由于本研究以每次就诊为独立事务单元，同一患者可能贡献多次就诊记录，但原始数据未提供患者标识与就诊次数的对应关系，故无法评估重复就诊对结果的潜在影响。</w:t>
      </w:r>
    </w:p>
    <w:p>
      <w:pPr>
        <w:spacing w:line="360" w:lineRule="auto"/>
      </w:pPr>
      <w:r>
        <w:rPr>
          <w:rFonts w:ascii="Times New Roman" w:hAnsi="Times New Roman" w:eastAsia="宋体"/>
          <w:b/>
          <w:sz w:val="24"/>
        </w:rPr>
        <w:t>4.2 频繁诊断组合挖掘结果</w:t>
      </w:r>
    </w:p>
    <w:p>
      <w:pPr>
        <w:spacing w:line="360" w:lineRule="auto"/>
        <w:ind w:firstLine="480"/>
      </w:pPr>
      <w:r>
        <w:rPr>
          <w:rFonts w:ascii="Times New Roman" w:hAnsi="Times New Roman" w:eastAsia="宋体"/>
          <w:b w:val="0"/>
          <w:sz w:val="24"/>
        </w:rPr>
        <w:t>在最小支持度0.05阈值下，共挖掘出22个频繁诊断组合。支持度排名前10的诊断组合见表1。</w:t>
      </w:r>
    </w:p>
    <w:p>
      <w:pPr>
        <w:jc w:val="center"/>
      </w:pPr>
      <w:r>
        <w:rPr>
          <w:rFonts w:ascii="Times New Roman" w:hAnsi="Times New Roman" w:eastAsia="黑体"/>
          <w:b w:val="0"/>
          <w:sz w:val="20"/>
        </w:rPr>
        <w:t>支持度排名前10的频繁诊断组合</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t>项集</w:t>
            </w:r>
          </w:p>
        </w:tc>
        <w:tc>
          <w:tcPr>
            <w:tcW w:type="dxa" w:w="2880"/>
          </w:tcPr>
          <w:p>
            <w:r/>
            <w:r>
              <w:rPr>
                <w:rFonts w:ascii="Times New Roman" w:hAnsi="Times New Roman" w:eastAsia="黑体"/>
                <w:b/>
                <w:sz w:val="18"/>
              </w:rPr>
              <w:t>支持度</w:t>
            </w:r>
          </w:p>
        </w:tc>
        <w:tc>
          <w:tcPr>
            <w:tcW w:type="dxa" w:w="2880"/>
          </w:tcPr>
          <w:p>
            <w:r/>
            <w:r>
              <w:rPr>
                <w:rFonts w:ascii="Times New Roman" w:hAnsi="Times New Roman" w:eastAsia="黑体"/>
                <w:b/>
                <w:sz w:val="18"/>
              </w:rPr>
              <w:t>出现就诊数</w:t>
            </w:r>
          </w:p>
        </w:tc>
      </w:tr>
      <w:tr>
        <w:tc>
          <w:tcPr>
            <w:tcW w:type="dxa" w:w="2880"/>
          </w:tcPr>
          <w:p>
            <w:r/>
            <w:r>
              <w:rPr>
                <w:rFonts w:ascii="Times New Roman" w:hAnsi="Times New Roman" w:eastAsia="宋体"/>
                <w:b w:val="0"/>
                <w:sz w:val="18"/>
              </w:rPr>
              <w:t>冠状动脉粥样硬化性心脏病</w:t>
            </w:r>
          </w:p>
        </w:tc>
        <w:tc>
          <w:tcPr>
            <w:tcW w:type="dxa" w:w="2880"/>
          </w:tcPr>
          <w:p>
            <w:r/>
            <w:r>
              <w:rPr>
                <w:rFonts w:ascii="Times New Roman" w:hAnsi="Times New Roman" w:eastAsia="宋体"/>
                <w:b w:val="0"/>
                <w:sz w:val="18"/>
              </w:rPr>
              <w:t>0.2761</w:t>
            </w:r>
          </w:p>
        </w:tc>
        <w:tc>
          <w:tcPr>
            <w:tcW w:type="dxa" w:w="2880"/>
          </w:tcPr>
          <w:p>
            <w:r/>
            <w:r>
              <w:rPr>
                <w:rFonts w:ascii="Times New Roman" w:hAnsi="Times New Roman" w:eastAsia="宋体"/>
                <w:b w:val="0"/>
                <w:sz w:val="18"/>
              </w:rPr>
              <w:t>3678</w:t>
            </w:r>
          </w:p>
        </w:tc>
      </w:tr>
      <w:tr>
        <w:tc>
          <w:tcPr>
            <w:tcW w:type="dxa" w:w="2880"/>
          </w:tcPr>
          <w:p>
            <w:r/>
            <w:r>
              <w:rPr>
                <w:rFonts w:ascii="Times New Roman" w:hAnsi="Times New Roman" w:eastAsia="宋体"/>
                <w:b w:val="0"/>
                <w:sz w:val="18"/>
              </w:rPr>
              <w:t>高血压</w:t>
            </w:r>
          </w:p>
        </w:tc>
        <w:tc>
          <w:tcPr>
            <w:tcW w:type="dxa" w:w="2880"/>
          </w:tcPr>
          <w:p>
            <w:r/>
            <w:r>
              <w:rPr>
                <w:rFonts w:ascii="Times New Roman" w:hAnsi="Times New Roman" w:eastAsia="宋体"/>
                <w:b w:val="0"/>
                <w:sz w:val="18"/>
              </w:rPr>
              <w:t>0.1949</w:t>
            </w:r>
          </w:p>
        </w:tc>
        <w:tc>
          <w:tcPr>
            <w:tcW w:type="dxa" w:w="2880"/>
          </w:tcPr>
          <w:p>
            <w:r/>
            <w:r>
              <w:rPr>
                <w:rFonts w:ascii="Times New Roman" w:hAnsi="Times New Roman" w:eastAsia="宋体"/>
                <w:b w:val="0"/>
                <w:sz w:val="18"/>
              </w:rPr>
              <w:t>2596</w:t>
            </w:r>
          </w:p>
        </w:tc>
      </w:tr>
      <w:tr>
        <w:tc>
          <w:tcPr>
            <w:tcW w:type="dxa" w:w="2880"/>
          </w:tcPr>
          <w:p>
            <w:r/>
            <w:r>
              <w:rPr>
                <w:rFonts w:ascii="Times New Roman" w:hAnsi="Times New Roman" w:eastAsia="宋体"/>
                <w:b w:val="0"/>
                <w:sz w:val="18"/>
              </w:rPr>
              <w:t>肺部感染</w:t>
            </w:r>
          </w:p>
        </w:tc>
        <w:tc>
          <w:tcPr>
            <w:tcW w:type="dxa" w:w="2880"/>
          </w:tcPr>
          <w:p>
            <w:r/>
            <w:r>
              <w:rPr>
                <w:rFonts w:ascii="Times New Roman" w:hAnsi="Times New Roman" w:eastAsia="宋体"/>
                <w:b w:val="0"/>
                <w:sz w:val="18"/>
              </w:rPr>
              <w:t>0.1679</w:t>
            </w:r>
          </w:p>
        </w:tc>
        <w:tc>
          <w:tcPr>
            <w:tcW w:type="dxa" w:w="2880"/>
          </w:tcPr>
          <w:p>
            <w:r/>
            <w:r>
              <w:rPr>
                <w:rFonts w:ascii="Times New Roman" w:hAnsi="Times New Roman" w:eastAsia="宋体"/>
                <w:b w:val="0"/>
                <w:sz w:val="18"/>
              </w:rPr>
              <w:t>2237</w:t>
            </w:r>
          </w:p>
        </w:tc>
      </w:tr>
      <w:tr>
        <w:tc>
          <w:tcPr>
            <w:tcW w:type="dxa" w:w="2880"/>
          </w:tcPr>
          <w:p>
            <w:r/>
            <w:r>
              <w:rPr>
                <w:rFonts w:ascii="Times New Roman" w:hAnsi="Times New Roman" w:eastAsia="宋体"/>
                <w:b w:val="0"/>
                <w:sz w:val="18"/>
              </w:rPr>
              <w:t>肺恶性肿瘤</w:t>
            </w:r>
          </w:p>
        </w:tc>
        <w:tc>
          <w:tcPr>
            <w:tcW w:type="dxa" w:w="2880"/>
          </w:tcPr>
          <w:p>
            <w:r/>
            <w:r>
              <w:rPr>
                <w:rFonts w:ascii="Times New Roman" w:hAnsi="Times New Roman" w:eastAsia="宋体"/>
                <w:b w:val="0"/>
                <w:sz w:val="18"/>
              </w:rPr>
              <w:t>0.1167</w:t>
            </w:r>
          </w:p>
        </w:tc>
        <w:tc>
          <w:tcPr>
            <w:tcW w:type="dxa" w:w="2880"/>
          </w:tcPr>
          <w:p>
            <w:r/>
            <w:r>
              <w:rPr>
                <w:rFonts w:ascii="Times New Roman" w:hAnsi="Times New Roman" w:eastAsia="宋体"/>
                <w:b w:val="0"/>
                <w:sz w:val="18"/>
              </w:rPr>
              <w:t>1554</w:t>
            </w:r>
          </w:p>
        </w:tc>
      </w:tr>
      <w:tr>
        <w:tc>
          <w:tcPr>
            <w:tcW w:type="dxa" w:w="2880"/>
          </w:tcPr>
          <w:p>
            <w:r/>
            <w:r>
              <w:rPr>
                <w:rFonts w:ascii="Times New Roman" w:hAnsi="Times New Roman" w:eastAsia="宋体"/>
                <w:b w:val="0"/>
                <w:sz w:val="18"/>
              </w:rPr>
              <w:t>脑梗死</w:t>
            </w:r>
          </w:p>
        </w:tc>
        <w:tc>
          <w:tcPr>
            <w:tcW w:type="dxa" w:w="2880"/>
          </w:tcPr>
          <w:p>
            <w:r/>
            <w:r>
              <w:rPr>
                <w:rFonts w:ascii="Times New Roman" w:hAnsi="Times New Roman" w:eastAsia="宋体"/>
                <w:b w:val="0"/>
                <w:sz w:val="18"/>
              </w:rPr>
              <w:t>0.1068</w:t>
            </w:r>
          </w:p>
        </w:tc>
        <w:tc>
          <w:tcPr>
            <w:tcW w:type="dxa" w:w="2880"/>
          </w:tcPr>
          <w:p>
            <w:r/>
            <w:r>
              <w:rPr>
                <w:rFonts w:ascii="Times New Roman" w:hAnsi="Times New Roman" w:eastAsia="宋体"/>
                <w:b w:val="0"/>
                <w:sz w:val="18"/>
              </w:rPr>
              <w:t>1422</w:t>
            </w:r>
          </w:p>
        </w:tc>
      </w:tr>
      <w:tr>
        <w:tc>
          <w:tcPr>
            <w:tcW w:type="dxa" w:w="2880"/>
          </w:tcPr>
          <w:p>
            <w:r/>
            <w:r>
              <w:rPr>
                <w:rFonts w:ascii="Times New Roman" w:hAnsi="Times New Roman" w:eastAsia="宋体"/>
                <w:b w:val="0"/>
                <w:sz w:val="18"/>
              </w:rPr>
              <w:t>恶性肿瘤终末期维持治疗</w:t>
            </w:r>
          </w:p>
        </w:tc>
        <w:tc>
          <w:tcPr>
            <w:tcW w:type="dxa" w:w="2880"/>
          </w:tcPr>
          <w:p>
            <w:r/>
            <w:r>
              <w:rPr>
                <w:rFonts w:ascii="Times New Roman" w:hAnsi="Times New Roman" w:eastAsia="宋体"/>
                <w:b w:val="0"/>
                <w:sz w:val="18"/>
              </w:rPr>
              <w:t>0.099</w:t>
            </w:r>
          </w:p>
        </w:tc>
        <w:tc>
          <w:tcPr>
            <w:tcW w:type="dxa" w:w="2880"/>
          </w:tcPr>
          <w:p>
            <w:r/>
            <w:r>
              <w:rPr>
                <w:rFonts w:ascii="Times New Roman" w:hAnsi="Times New Roman" w:eastAsia="宋体"/>
                <w:b w:val="0"/>
                <w:sz w:val="18"/>
              </w:rPr>
              <w:t>1319</w:t>
            </w:r>
          </w:p>
        </w:tc>
      </w:tr>
      <w:tr>
        <w:tc>
          <w:tcPr>
            <w:tcW w:type="dxa" w:w="2880"/>
          </w:tcPr>
          <w:p>
            <w:r/>
            <w:r>
              <w:rPr>
                <w:rFonts w:ascii="Times New Roman" w:hAnsi="Times New Roman" w:eastAsia="宋体"/>
                <w:b w:val="0"/>
                <w:sz w:val="18"/>
              </w:rPr>
              <w:t>淋巴结继发恶性肿瘤</w:t>
            </w:r>
          </w:p>
        </w:tc>
        <w:tc>
          <w:tcPr>
            <w:tcW w:type="dxa" w:w="2880"/>
          </w:tcPr>
          <w:p>
            <w:r/>
            <w:r>
              <w:rPr>
                <w:rFonts w:ascii="Times New Roman" w:hAnsi="Times New Roman" w:eastAsia="宋体"/>
                <w:b w:val="0"/>
                <w:sz w:val="18"/>
              </w:rPr>
              <w:t>0.0926</w:t>
            </w:r>
          </w:p>
        </w:tc>
        <w:tc>
          <w:tcPr>
            <w:tcW w:type="dxa" w:w="2880"/>
          </w:tcPr>
          <w:p>
            <w:r/>
            <w:r>
              <w:rPr>
                <w:rFonts w:ascii="Times New Roman" w:hAnsi="Times New Roman" w:eastAsia="宋体"/>
                <w:b w:val="0"/>
                <w:sz w:val="18"/>
              </w:rPr>
              <w:t>1233</w:t>
            </w:r>
          </w:p>
        </w:tc>
      </w:tr>
      <w:tr>
        <w:tc>
          <w:tcPr>
            <w:tcW w:type="dxa" w:w="2880"/>
          </w:tcPr>
          <w:p>
            <w:r/>
            <w:r>
              <w:rPr>
                <w:rFonts w:ascii="Times New Roman" w:hAnsi="Times New Roman" w:eastAsia="宋体"/>
                <w:b w:val="0"/>
                <w:sz w:val="18"/>
              </w:rPr>
              <w:t>冠状动脉粥样硬化性心脏病 + 高血压</w:t>
            </w:r>
          </w:p>
        </w:tc>
        <w:tc>
          <w:tcPr>
            <w:tcW w:type="dxa" w:w="2880"/>
          </w:tcPr>
          <w:p>
            <w:r/>
            <w:r>
              <w:rPr>
                <w:rFonts w:ascii="Times New Roman" w:hAnsi="Times New Roman" w:eastAsia="宋体"/>
                <w:b w:val="0"/>
                <w:sz w:val="18"/>
              </w:rPr>
              <w:t>0.0889</w:t>
            </w:r>
          </w:p>
        </w:tc>
        <w:tc>
          <w:tcPr>
            <w:tcW w:type="dxa" w:w="2880"/>
          </w:tcPr>
          <w:p>
            <w:r/>
            <w:r>
              <w:rPr>
                <w:rFonts w:ascii="Times New Roman" w:hAnsi="Times New Roman" w:eastAsia="宋体"/>
                <w:b w:val="0"/>
                <w:sz w:val="18"/>
              </w:rPr>
              <w:t>1184</w:t>
            </w:r>
          </w:p>
        </w:tc>
      </w:tr>
      <w:tr>
        <w:tc>
          <w:tcPr>
            <w:tcW w:type="dxa" w:w="2880"/>
          </w:tcPr>
          <w:p>
            <w:r/>
            <w:r>
              <w:rPr>
                <w:rFonts w:ascii="Times New Roman" w:hAnsi="Times New Roman" w:eastAsia="宋体"/>
                <w:b w:val="0"/>
                <w:sz w:val="18"/>
              </w:rPr>
              <w:t>右肺恶性肿瘤</w:t>
            </w:r>
          </w:p>
        </w:tc>
        <w:tc>
          <w:tcPr>
            <w:tcW w:type="dxa" w:w="2880"/>
          </w:tcPr>
          <w:p>
            <w:r/>
            <w:r>
              <w:rPr>
                <w:rFonts w:ascii="Times New Roman" w:hAnsi="Times New Roman" w:eastAsia="宋体"/>
                <w:b w:val="0"/>
                <w:sz w:val="18"/>
              </w:rPr>
              <w:t>0.0827</w:t>
            </w:r>
          </w:p>
        </w:tc>
        <w:tc>
          <w:tcPr>
            <w:tcW w:type="dxa" w:w="2880"/>
          </w:tcPr>
          <w:p>
            <w:r/>
            <w:r>
              <w:rPr>
                <w:rFonts w:ascii="Times New Roman" w:hAnsi="Times New Roman" w:eastAsia="宋体"/>
                <w:b w:val="0"/>
                <w:sz w:val="18"/>
              </w:rPr>
              <w:t>1101</w:t>
            </w:r>
          </w:p>
        </w:tc>
      </w:tr>
      <w:tr>
        <w:tc>
          <w:tcPr>
            <w:tcW w:type="dxa" w:w="2880"/>
          </w:tcPr>
          <w:p>
            <w:r/>
            <w:r>
              <w:rPr>
                <w:rFonts w:ascii="Times New Roman" w:hAnsi="Times New Roman" w:eastAsia="宋体"/>
                <w:b w:val="0"/>
                <w:sz w:val="18"/>
              </w:rPr>
              <w:t>肺气肿</w:t>
            </w:r>
          </w:p>
        </w:tc>
        <w:tc>
          <w:tcPr>
            <w:tcW w:type="dxa" w:w="2880"/>
          </w:tcPr>
          <w:p>
            <w:r/>
            <w:r>
              <w:rPr>
                <w:rFonts w:ascii="Times New Roman" w:hAnsi="Times New Roman" w:eastAsia="宋体"/>
                <w:b w:val="0"/>
                <w:sz w:val="18"/>
              </w:rPr>
              <w:t>0.0818</w:t>
            </w:r>
          </w:p>
        </w:tc>
        <w:tc>
          <w:tcPr>
            <w:tcW w:type="dxa" w:w="2880"/>
          </w:tcPr>
          <w:p>
            <w:r/>
            <w:r>
              <w:rPr>
                <w:rFonts w:ascii="Times New Roman" w:hAnsi="Times New Roman" w:eastAsia="宋体"/>
                <w:b w:val="0"/>
                <w:sz w:val="18"/>
              </w:rPr>
              <w:t>1089</w:t>
            </w:r>
          </w:p>
        </w:tc>
      </w:tr>
      <w:tr>
        <w:tc>
          <w:tcPr>
            <w:tcW w:type="dxa" w:w="2880"/>
          </w:tcPr>
          <w:p>
            <w:r/>
            <w:r>
              <w:rPr>
                <w:rFonts w:ascii="Times New Roman" w:hAnsi="Times New Roman" w:eastAsia="宋体"/>
                <w:b w:val="0"/>
                <w:sz w:val="18"/>
              </w:rPr>
              <w:t>糖尿病</w:t>
            </w:r>
          </w:p>
        </w:tc>
        <w:tc>
          <w:tcPr>
            <w:tcW w:type="dxa" w:w="2880"/>
          </w:tcPr>
          <w:p>
            <w:r/>
            <w:r>
              <w:rPr>
                <w:rFonts w:ascii="Times New Roman" w:hAnsi="Times New Roman" w:eastAsia="宋体"/>
                <w:b w:val="0"/>
                <w:sz w:val="18"/>
              </w:rPr>
              <w:t>0.0809</w:t>
            </w:r>
          </w:p>
        </w:tc>
        <w:tc>
          <w:tcPr>
            <w:tcW w:type="dxa" w:w="2880"/>
          </w:tcPr>
          <w:p>
            <w:r/>
            <w:r>
              <w:rPr>
                <w:rFonts w:ascii="Times New Roman" w:hAnsi="Times New Roman" w:eastAsia="宋体"/>
                <w:b w:val="0"/>
                <w:sz w:val="18"/>
              </w:rPr>
              <w:t>1078</w:t>
            </w:r>
          </w:p>
        </w:tc>
      </w:tr>
      <w:tr>
        <w:tc>
          <w:tcPr>
            <w:tcW w:type="dxa" w:w="2880"/>
          </w:tcPr>
          <w:p>
            <w:r/>
            <w:r>
              <w:rPr>
                <w:rFonts w:ascii="Times New Roman" w:hAnsi="Times New Roman" w:eastAsia="宋体"/>
                <w:b w:val="0"/>
                <w:sz w:val="18"/>
              </w:rPr>
              <w:t>左肺恶性肿瘤</w:t>
            </w:r>
          </w:p>
        </w:tc>
        <w:tc>
          <w:tcPr>
            <w:tcW w:type="dxa" w:w="2880"/>
          </w:tcPr>
          <w:p>
            <w:r/>
            <w:r>
              <w:rPr>
                <w:rFonts w:ascii="Times New Roman" w:hAnsi="Times New Roman" w:eastAsia="宋体"/>
                <w:b w:val="0"/>
                <w:sz w:val="18"/>
              </w:rPr>
              <w:t>0.0765</w:t>
            </w:r>
          </w:p>
        </w:tc>
        <w:tc>
          <w:tcPr>
            <w:tcW w:type="dxa" w:w="2880"/>
          </w:tcPr>
          <w:p>
            <w:r/>
            <w:r>
              <w:rPr>
                <w:rFonts w:ascii="Times New Roman" w:hAnsi="Times New Roman" w:eastAsia="宋体"/>
                <w:b w:val="0"/>
                <w:sz w:val="18"/>
              </w:rPr>
              <w:t>1019</w:t>
            </w:r>
          </w:p>
        </w:tc>
      </w:tr>
      <w:tr>
        <w:tc>
          <w:tcPr>
            <w:tcW w:type="dxa" w:w="2880"/>
          </w:tcPr>
          <w:p>
            <w:r/>
            <w:r>
              <w:rPr>
                <w:rFonts w:ascii="Times New Roman" w:hAnsi="Times New Roman" w:eastAsia="宋体"/>
                <w:b w:val="0"/>
                <w:sz w:val="18"/>
              </w:rPr>
              <w:t>骨继发恶性肿瘤</w:t>
            </w:r>
          </w:p>
        </w:tc>
        <w:tc>
          <w:tcPr>
            <w:tcW w:type="dxa" w:w="2880"/>
          </w:tcPr>
          <w:p>
            <w:r/>
            <w:r>
              <w:rPr>
                <w:rFonts w:ascii="Times New Roman" w:hAnsi="Times New Roman" w:eastAsia="宋体"/>
                <w:b w:val="0"/>
                <w:sz w:val="18"/>
              </w:rPr>
              <w:t>0.0703</w:t>
            </w:r>
          </w:p>
        </w:tc>
        <w:tc>
          <w:tcPr>
            <w:tcW w:type="dxa" w:w="2880"/>
          </w:tcPr>
          <w:p>
            <w:r/>
            <w:r>
              <w:rPr>
                <w:rFonts w:ascii="Times New Roman" w:hAnsi="Times New Roman" w:eastAsia="宋体"/>
                <w:b w:val="0"/>
                <w:sz w:val="18"/>
              </w:rPr>
              <w:t>936</w:t>
            </w:r>
          </w:p>
        </w:tc>
      </w:tr>
      <w:tr>
        <w:tc>
          <w:tcPr>
            <w:tcW w:type="dxa" w:w="2880"/>
          </w:tcPr>
          <w:p>
            <w:r/>
            <w:r>
              <w:rPr>
                <w:rFonts w:ascii="Times New Roman" w:hAnsi="Times New Roman" w:eastAsia="宋体"/>
                <w:b w:val="0"/>
                <w:sz w:val="18"/>
              </w:rPr>
              <w:t>肝恶性肿瘤</w:t>
            </w:r>
          </w:p>
        </w:tc>
        <w:tc>
          <w:tcPr>
            <w:tcW w:type="dxa" w:w="2880"/>
          </w:tcPr>
          <w:p>
            <w:r/>
            <w:r>
              <w:rPr>
                <w:rFonts w:ascii="Times New Roman" w:hAnsi="Times New Roman" w:eastAsia="宋体"/>
                <w:b w:val="0"/>
                <w:sz w:val="18"/>
              </w:rPr>
              <w:t>0.0667</w:t>
            </w:r>
          </w:p>
        </w:tc>
        <w:tc>
          <w:tcPr>
            <w:tcW w:type="dxa" w:w="2880"/>
          </w:tcPr>
          <w:p>
            <w:r/>
            <w:r>
              <w:rPr>
                <w:rFonts w:ascii="Times New Roman" w:hAnsi="Times New Roman" w:eastAsia="宋体"/>
                <w:b w:val="0"/>
                <w:sz w:val="18"/>
              </w:rPr>
              <w:t>889</w:t>
            </w:r>
          </w:p>
        </w:tc>
      </w:tr>
      <w:tr>
        <w:tc>
          <w:tcPr>
            <w:tcW w:type="dxa" w:w="2880"/>
          </w:tcPr>
          <w:p>
            <w:r/>
            <w:r>
              <w:rPr>
                <w:rFonts w:ascii="Times New Roman" w:hAnsi="Times New Roman" w:eastAsia="宋体"/>
                <w:b w:val="0"/>
                <w:sz w:val="18"/>
              </w:rPr>
              <w:t>冠状动脉粥样硬化性心脏病 + 肺部感染</w:t>
            </w:r>
          </w:p>
        </w:tc>
        <w:tc>
          <w:tcPr>
            <w:tcW w:type="dxa" w:w="2880"/>
          </w:tcPr>
          <w:p>
            <w:r/>
            <w:r>
              <w:rPr>
                <w:rFonts w:ascii="Times New Roman" w:hAnsi="Times New Roman" w:eastAsia="宋体"/>
                <w:b w:val="0"/>
                <w:sz w:val="18"/>
              </w:rPr>
              <w:t>0.0621</w:t>
            </w:r>
          </w:p>
        </w:tc>
        <w:tc>
          <w:tcPr>
            <w:tcW w:type="dxa" w:w="2880"/>
          </w:tcPr>
          <w:p>
            <w:r/>
            <w:r>
              <w:rPr>
                <w:rFonts w:ascii="Times New Roman" w:hAnsi="Times New Roman" w:eastAsia="宋体"/>
                <w:b w:val="0"/>
                <w:sz w:val="18"/>
              </w:rPr>
              <w:t>827</w:t>
            </w:r>
          </w:p>
        </w:tc>
      </w:tr>
      <w:tr>
        <w:tc>
          <w:tcPr>
            <w:tcW w:type="dxa" w:w="2880"/>
          </w:tcPr>
          <w:p>
            <w:r/>
            <w:r>
              <w:rPr>
                <w:rFonts w:ascii="Times New Roman" w:hAnsi="Times New Roman" w:eastAsia="宋体"/>
                <w:b w:val="0"/>
                <w:sz w:val="18"/>
              </w:rPr>
              <w:t>胸腔积液</w:t>
            </w:r>
          </w:p>
        </w:tc>
        <w:tc>
          <w:tcPr>
            <w:tcW w:type="dxa" w:w="2880"/>
          </w:tcPr>
          <w:p>
            <w:r/>
            <w:r>
              <w:rPr>
                <w:rFonts w:ascii="Times New Roman" w:hAnsi="Times New Roman" w:eastAsia="宋体"/>
                <w:b w:val="0"/>
                <w:sz w:val="18"/>
              </w:rPr>
              <w:t>0.061</w:t>
            </w:r>
          </w:p>
        </w:tc>
        <w:tc>
          <w:tcPr>
            <w:tcW w:type="dxa" w:w="2880"/>
          </w:tcPr>
          <w:p>
            <w:r/>
            <w:r>
              <w:rPr>
                <w:rFonts w:ascii="Times New Roman" w:hAnsi="Times New Roman" w:eastAsia="宋体"/>
                <w:b w:val="0"/>
                <w:sz w:val="18"/>
              </w:rPr>
              <w:t>813</w:t>
            </w:r>
          </w:p>
        </w:tc>
      </w:tr>
      <w:tr>
        <w:tc>
          <w:tcPr>
            <w:tcW w:type="dxa" w:w="2880"/>
          </w:tcPr>
          <w:p>
            <w:r/>
            <w:r>
              <w:rPr>
                <w:rFonts w:ascii="Times New Roman" w:hAnsi="Times New Roman" w:eastAsia="宋体"/>
                <w:b w:val="0"/>
                <w:sz w:val="18"/>
              </w:rPr>
              <w:t>食管恶性肿瘤</w:t>
            </w:r>
          </w:p>
        </w:tc>
        <w:tc>
          <w:tcPr>
            <w:tcW w:type="dxa" w:w="2880"/>
          </w:tcPr>
          <w:p>
            <w:r/>
            <w:r>
              <w:rPr>
                <w:rFonts w:ascii="Times New Roman" w:hAnsi="Times New Roman" w:eastAsia="宋体"/>
                <w:b w:val="0"/>
                <w:sz w:val="18"/>
              </w:rPr>
              <w:t>0.0584</w:t>
            </w:r>
          </w:p>
        </w:tc>
        <w:tc>
          <w:tcPr>
            <w:tcW w:type="dxa" w:w="2880"/>
          </w:tcPr>
          <w:p>
            <w:r/>
            <w:r>
              <w:rPr>
                <w:rFonts w:ascii="Times New Roman" w:hAnsi="Times New Roman" w:eastAsia="宋体"/>
                <w:b w:val="0"/>
                <w:sz w:val="18"/>
              </w:rPr>
              <w:t>778</w:t>
            </w:r>
          </w:p>
        </w:tc>
      </w:tr>
      <w:tr>
        <w:tc>
          <w:tcPr>
            <w:tcW w:type="dxa" w:w="2880"/>
          </w:tcPr>
          <w:p>
            <w:r/>
            <w:r>
              <w:rPr>
                <w:rFonts w:ascii="Times New Roman" w:hAnsi="Times New Roman" w:eastAsia="宋体"/>
                <w:b w:val="0"/>
                <w:sz w:val="18"/>
              </w:rPr>
              <w:t>化疗后骨髓抑制</w:t>
            </w:r>
          </w:p>
        </w:tc>
        <w:tc>
          <w:tcPr>
            <w:tcW w:type="dxa" w:w="2880"/>
          </w:tcPr>
          <w:p>
            <w:r/>
            <w:r>
              <w:rPr>
                <w:rFonts w:ascii="Times New Roman" w:hAnsi="Times New Roman" w:eastAsia="宋体"/>
                <w:b w:val="0"/>
                <w:sz w:val="18"/>
              </w:rPr>
              <w:t>0.0576</w:t>
            </w:r>
          </w:p>
        </w:tc>
        <w:tc>
          <w:tcPr>
            <w:tcW w:type="dxa" w:w="2880"/>
          </w:tcPr>
          <w:p>
            <w:r/>
            <w:r>
              <w:rPr>
                <w:rFonts w:ascii="Times New Roman" w:hAnsi="Times New Roman" w:eastAsia="宋体"/>
                <w:b w:val="0"/>
                <w:sz w:val="18"/>
              </w:rPr>
              <w:t>767</w:t>
            </w:r>
          </w:p>
        </w:tc>
      </w:tr>
      <w:tr>
        <w:tc>
          <w:tcPr>
            <w:tcW w:type="dxa" w:w="2880"/>
          </w:tcPr>
          <w:p>
            <w:r/>
            <w:r>
              <w:rPr>
                <w:rFonts w:ascii="Times New Roman" w:hAnsi="Times New Roman" w:eastAsia="宋体"/>
                <w:b w:val="0"/>
                <w:sz w:val="18"/>
              </w:rPr>
              <w:t>肝继发恶性肿瘤</w:t>
            </w:r>
          </w:p>
        </w:tc>
        <w:tc>
          <w:tcPr>
            <w:tcW w:type="dxa" w:w="2880"/>
          </w:tcPr>
          <w:p>
            <w:r/>
            <w:r>
              <w:rPr>
                <w:rFonts w:ascii="Times New Roman" w:hAnsi="Times New Roman" w:eastAsia="宋体"/>
                <w:b w:val="0"/>
                <w:sz w:val="18"/>
              </w:rPr>
              <w:t>0.0563</w:t>
            </w:r>
          </w:p>
        </w:tc>
        <w:tc>
          <w:tcPr>
            <w:tcW w:type="dxa" w:w="2880"/>
          </w:tcPr>
          <w:p>
            <w:r/>
            <w:r>
              <w:rPr>
                <w:rFonts w:ascii="Times New Roman" w:hAnsi="Times New Roman" w:eastAsia="宋体"/>
                <w:b w:val="0"/>
                <w:sz w:val="18"/>
              </w:rPr>
              <w:t>750</w:t>
            </w:r>
          </w:p>
        </w:tc>
      </w:tr>
      <w:tr>
        <w:tc>
          <w:tcPr>
            <w:tcW w:type="dxa" w:w="2880"/>
          </w:tcPr>
          <w:p>
            <w:r/>
            <w:r>
              <w:rPr>
                <w:rFonts w:ascii="Times New Roman" w:hAnsi="Times New Roman" w:eastAsia="宋体"/>
                <w:b w:val="0"/>
                <w:sz w:val="18"/>
              </w:rPr>
              <w:t>肺大疱</w:t>
            </w:r>
          </w:p>
        </w:tc>
        <w:tc>
          <w:tcPr>
            <w:tcW w:type="dxa" w:w="2880"/>
          </w:tcPr>
          <w:p>
            <w:r/>
            <w:r>
              <w:rPr>
                <w:rFonts w:ascii="Times New Roman" w:hAnsi="Times New Roman" w:eastAsia="宋体"/>
                <w:b w:val="0"/>
                <w:sz w:val="18"/>
              </w:rPr>
              <w:t>0.0528</w:t>
            </w:r>
          </w:p>
        </w:tc>
        <w:tc>
          <w:tcPr>
            <w:tcW w:type="dxa" w:w="2880"/>
          </w:tcPr>
          <w:p>
            <w:r/>
            <w:r>
              <w:rPr>
                <w:rFonts w:ascii="Times New Roman" w:hAnsi="Times New Roman" w:eastAsia="宋体"/>
                <w:b w:val="0"/>
                <w:sz w:val="18"/>
              </w:rPr>
              <w:t>703</w:t>
            </w:r>
          </w:p>
        </w:tc>
      </w:tr>
    </w:tbl>
    <w:p>
      <w:pPr>
        <w:spacing w:line="360" w:lineRule="auto"/>
        <w:ind w:firstLine="480"/>
      </w:pPr>
      <w:r>
        <w:rPr>
          <w:rFonts w:ascii="Times New Roman" w:hAnsi="Times New Roman" w:eastAsia="宋体"/>
          <w:b w:val="0"/>
          <w:sz w:val="24"/>
        </w:rPr>
        <w:t>支持度最高的前7个频繁项集均为单一诊断，其中冠状动脉粥样硬化性心脏病支持度最高（27.61%），其次为高血压（19.49%）、肺部感染（16.79%）、肺恶性肿瘤（11.67%）、脑梗死（10.68%）、恶性肿瘤终末期维持治疗（9.90%）及淋巴结继发恶性肿瘤（9.26%）。上述结果提示，心脑血管疾病、呼吸系统疾病及恶性肿瘤相关诊断在老年住院人群中具有较高的独立出现频率。</w:t>
      </w:r>
    </w:p>
    <w:p>
      <w:pPr>
        <w:spacing w:line="360" w:lineRule="auto"/>
        <w:ind w:firstLine="480"/>
      </w:pPr>
      <w:r>
        <w:rPr>
          <w:rFonts w:ascii="Times New Roman" w:hAnsi="Times New Roman" w:eastAsia="宋体"/>
          <w:b w:val="0"/>
          <w:sz w:val="24"/>
        </w:rPr>
        <w:t>首个多诊断组合「冠状动脉粥样硬化性心脏病 + 高血压」位列第8，支持度为8.89%，是支持度最高的双诊断组合。此外，右肺恶性肿瘤（8.27%）与肺气肿（8.18%）亦进入支持度前10。其余12个频繁诊断组合的具体构成未逐一列出，其中包含若干多诊断组合，但均未超过「冠状动脉粥样硬化性心脏病 + 高血压」的支持度水平。</w:t>
      </w:r>
    </w:p>
    <w:p>
      <w:pPr>
        <w:spacing w:line="360" w:lineRule="auto"/>
      </w:pPr>
      <w:r>
        <w:rPr>
          <w:rFonts w:ascii="Times New Roman" w:hAnsi="Times New Roman" w:eastAsia="宋体"/>
          <w:b/>
          <w:sz w:val="24"/>
        </w:rPr>
        <w:t>4.3 诊断关联规则挖掘结果</w:t>
      </w:r>
    </w:p>
    <w:p>
      <w:pPr>
        <w:spacing w:line="360" w:lineRule="auto"/>
        <w:ind w:firstLine="480"/>
      </w:pPr>
      <w:r>
        <w:rPr>
          <w:rFonts w:ascii="Times New Roman" w:hAnsi="Times New Roman" w:eastAsia="宋体"/>
          <w:b w:val="0"/>
          <w:sz w:val="24"/>
        </w:rPr>
        <w:t>在支持度≥0.02、置信度≥0.5的参数条件下，共获得4条诊断关联规则，详见表2。未达上述阈值的规则数量因原始数据未记录而不予报告；不同阈值条件下的规则稳定性亦未进行敏感性分析。</w:t>
      </w:r>
    </w:p>
    <w:p>
      <w:pPr>
        <w:jc w:val="center"/>
      </w:pPr>
      <w:r>
        <w:rPr>
          <w:rFonts w:ascii="Times New Roman" w:hAnsi="Times New Roman" w:eastAsia="黑体"/>
          <w:b w:val="0"/>
          <w:sz w:val="20"/>
        </w:rPr>
        <w:t>诊断关联规则（支持度≥0.02，置信度≥0.5）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黑体"/>
                <w:b/>
                <w:sz w:val="18"/>
              </w:rPr>
              <w:t>前项</w:t>
            </w:r>
          </w:p>
        </w:tc>
        <w:tc>
          <w:tcPr>
            <w:tcW w:type="dxa" w:w="1728"/>
          </w:tcPr>
          <w:p>
            <w:r/>
            <w:r>
              <w:rPr>
                <w:rFonts w:ascii="Times New Roman" w:hAnsi="Times New Roman" w:eastAsia="黑体"/>
                <w:b/>
                <w:sz w:val="18"/>
              </w:rPr>
              <w:t>后项</w:t>
            </w:r>
          </w:p>
        </w:tc>
        <w:tc>
          <w:tcPr>
            <w:tcW w:type="dxa" w:w="1728"/>
          </w:tcPr>
          <w:p>
            <w:r/>
            <w:r>
              <w:rPr>
                <w:rFonts w:ascii="Times New Roman" w:hAnsi="Times New Roman" w:eastAsia="黑体"/>
                <w:b/>
                <w:sz w:val="18"/>
              </w:rPr>
              <w:t>支持度</w:t>
            </w:r>
          </w:p>
        </w:tc>
        <w:tc>
          <w:tcPr>
            <w:tcW w:type="dxa" w:w="1728"/>
          </w:tcPr>
          <w:p>
            <w:r/>
            <w:r>
              <w:rPr>
                <w:rFonts w:ascii="Times New Roman" w:hAnsi="Times New Roman" w:eastAsia="黑体"/>
                <w:b/>
                <w:sz w:val="18"/>
              </w:rPr>
              <w:t>置信度</w:t>
            </w:r>
          </w:p>
        </w:tc>
        <w:tc>
          <w:tcPr>
            <w:tcW w:type="dxa" w:w="1728"/>
          </w:tcPr>
          <w:p>
            <w:r/>
            <w:r>
              <w:rPr>
                <w:rFonts w:ascii="Times New Roman" w:hAnsi="Times New Roman" w:eastAsia="黑体"/>
                <w:b/>
                <w:sz w:val="18"/>
              </w:rPr>
              <w:t>提升度</w:t>
            </w:r>
          </w:p>
        </w:tc>
      </w:tr>
      <w:tr>
        <w:tc>
          <w:tcPr>
            <w:tcW w:type="dxa" w:w="1728"/>
          </w:tcPr>
          <w:p>
            <w:r/>
            <w:r>
              <w:rPr>
                <w:rFonts w:ascii="Times New Roman" w:hAnsi="Times New Roman" w:eastAsia="宋体"/>
                <w:b w:val="0"/>
                <w:sz w:val="18"/>
              </w:rPr>
              <w:t>肺大疱</w:t>
            </w:r>
          </w:p>
        </w:tc>
        <w:tc>
          <w:tcPr>
            <w:tcW w:type="dxa" w:w="1728"/>
          </w:tcPr>
          <w:p>
            <w:r/>
            <w:r>
              <w:rPr>
                <w:rFonts w:ascii="Times New Roman" w:hAnsi="Times New Roman" w:eastAsia="宋体"/>
                <w:b w:val="0"/>
                <w:sz w:val="18"/>
              </w:rPr>
              <w:t>肺气肿</w:t>
            </w:r>
          </w:p>
        </w:tc>
        <w:tc>
          <w:tcPr>
            <w:tcW w:type="dxa" w:w="1728"/>
          </w:tcPr>
          <w:p>
            <w:r/>
            <w:r>
              <w:rPr>
                <w:rFonts w:ascii="Times New Roman" w:hAnsi="Times New Roman" w:eastAsia="宋体"/>
                <w:b w:val="0"/>
                <w:sz w:val="18"/>
              </w:rPr>
              <w:t>0.0421</w:t>
            </w:r>
          </w:p>
        </w:tc>
        <w:tc>
          <w:tcPr>
            <w:tcW w:type="dxa" w:w="1728"/>
          </w:tcPr>
          <w:p>
            <w:r/>
            <w:r>
              <w:rPr>
                <w:rFonts w:ascii="Times New Roman" w:hAnsi="Times New Roman" w:eastAsia="宋体"/>
                <w:b w:val="0"/>
                <w:sz w:val="18"/>
              </w:rPr>
              <w:t>0.798</w:t>
            </w:r>
          </w:p>
        </w:tc>
        <w:tc>
          <w:tcPr>
            <w:tcW w:type="dxa" w:w="1728"/>
          </w:tcPr>
          <w:p>
            <w:r/>
            <w:r>
              <w:rPr>
                <w:rFonts w:ascii="Times New Roman" w:hAnsi="Times New Roman" w:eastAsia="宋体"/>
                <w:b w:val="0"/>
                <w:sz w:val="18"/>
              </w:rPr>
              <w:t>9.76</w:t>
            </w:r>
          </w:p>
        </w:tc>
      </w:tr>
      <w:tr>
        <w:tc>
          <w:tcPr>
            <w:tcW w:type="dxa" w:w="1728"/>
          </w:tcPr>
          <w:p>
            <w:r/>
            <w:r>
              <w:rPr>
                <w:rFonts w:ascii="Times New Roman" w:hAnsi="Times New Roman" w:eastAsia="宋体"/>
                <w:b w:val="0"/>
                <w:sz w:val="18"/>
              </w:rPr>
              <w:t>肺气肿</w:t>
            </w:r>
          </w:p>
        </w:tc>
        <w:tc>
          <w:tcPr>
            <w:tcW w:type="dxa" w:w="1728"/>
          </w:tcPr>
          <w:p>
            <w:r/>
            <w:r>
              <w:rPr>
                <w:rFonts w:ascii="Times New Roman" w:hAnsi="Times New Roman" w:eastAsia="宋体"/>
                <w:b w:val="0"/>
                <w:sz w:val="18"/>
              </w:rPr>
              <w:t>肺大疱</w:t>
            </w:r>
          </w:p>
        </w:tc>
        <w:tc>
          <w:tcPr>
            <w:tcW w:type="dxa" w:w="1728"/>
          </w:tcPr>
          <w:p>
            <w:r/>
            <w:r>
              <w:rPr>
                <w:rFonts w:ascii="Times New Roman" w:hAnsi="Times New Roman" w:eastAsia="宋体"/>
                <w:b w:val="0"/>
                <w:sz w:val="18"/>
              </w:rPr>
              <w:t>0.0421</w:t>
            </w:r>
          </w:p>
        </w:tc>
        <w:tc>
          <w:tcPr>
            <w:tcW w:type="dxa" w:w="1728"/>
          </w:tcPr>
          <w:p>
            <w:r/>
            <w:r>
              <w:rPr>
                <w:rFonts w:ascii="Times New Roman" w:hAnsi="Times New Roman" w:eastAsia="宋体"/>
                <w:b w:val="0"/>
                <w:sz w:val="18"/>
              </w:rPr>
              <w:t>0.515</w:t>
            </w:r>
          </w:p>
        </w:tc>
        <w:tc>
          <w:tcPr>
            <w:tcW w:type="dxa" w:w="1728"/>
          </w:tcPr>
          <w:p>
            <w:r/>
            <w:r>
              <w:rPr>
                <w:rFonts w:ascii="Times New Roman" w:hAnsi="Times New Roman" w:eastAsia="宋体"/>
                <w:b w:val="0"/>
                <w:sz w:val="18"/>
              </w:rPr>
              <w:t>9.76</w:t>
            </w:r>
          </w:p>
        </w:tc>
      </w:tr>
      <w:tr>
        <w:tc>
          <w:tcPr>
            <w:tcW w:type="dxa" w:w="1728"/>
          </w:tcPr>
          <w:p>
            <w:r/>
            <w:r>
              <w:rPr>
                <w:rFonts w:ascii="Times New Roman" w:hAnsi="Times New Roman" w:eastAsia="宋体"/>
                <w:b w:val="0"/>
                <w:sz w:val="18"/>
              </w:rPr>
              <w:t>慢性乙型病毒性肝炎</w:t>
            </w:r>
          </w:p>
        </w:tc>
        <w:tc>
          <w:tcPr>
            <w:tcW w:type="dxa" w:w="1728"/>
          </w:tcPr>
          <w:p>
            <w:r/>
            <w:r>
              <w:rPr>
                <w:rFonts w:ascii="Times New Roman" w:hAnsi="Times New Roman" w:eastAsia="宋体"/>
                <w:b w:val="0"/>
                <w:sz w:val="18"/>
              </w:rPr>
              <w:t>肝恶性肿瘤</w:t>
            </w:r>
          </w:p>
        </w:tc>
        <w:tc>
          <w:tcPr>
            <w:tcW w:type="dxa" w:w="1728"/>
          </w:tcPr>
          <w:p>
            <w:r/>
            <w:r>
              <w:rPr>
                <w:rFonts w:ascii="Times New Roman" w:hAnsi="Times New Roman" w:eastAsia="宋体"/>
                <w:b w:val="0"/>
                <w:sz w:val="18"/>
              </w:rPr>
              <w:t>0.0236</w:t>
            </w:r>
          </w:p>
        </w:tc>
        <w:tc>
          <w:tcPr>
            <w:tcW w:type="dxa" w:w="1728"/>
          </w:tcPr>
          <w:p>
            <w:r/>
            <w:r>
              <w:rPr>
                <w:rFonts w:ascii="Times New Roman" w:hAnsi="Times New Roman" w:eastAsia="宋体"/>
                <w:b w:val="0"/>
                <w:sz w:val="18"/>
              </w:rPr>
              <w:t>0.592</w:t>
            </w:r>
          </w:p>
        </w:tc>
        <w:tc>
          <w:tcPr>
            <w:tcW w:type="dxa" w:w="1728"/>
          </w:tcPr>
          <w:p>
            <w:r/>
            <w:r>
              <w:rPr>
                <w:rFonts w:ascii="Times New Roman" w:hAnsi="Times New Roman" w:eastAsia="宋体"/>
                <w:b w:val="0"/>
                <w:sz w:val="18"/>
              </w:rPr>
              <w:t>8.87</w:t>
            </w:r>
          </w:p>
        </w:tc>
      </w:tr>
      <w:tr>
        <w:tc>
          <w:tcPr>
            <w:tcW w:type="dxa" w:w="1728"/>
          </w:tcPr>
          <w:p>
            <w:r/>
            <w:r>
              <w:rPr>
                <w:rFonts w:ascii="Times New Roman" w:hAnsi="Times New Roman" w:eastAsia="宋体"/>
                <w:b w:val="0"/>
                <w:sz w:val="18"/>
              </w:rPr>
              <w:t>脑继发恶性肿瘤</w:t>
            </w:r>
          </w:p>
        </w:tc>
        <w:tc>
          <w:tcPr>
            <w:tcW w:type="dxa" w:w="1728"/>
          </w:tcPr>
          <w:p>
            <w:r/>
            <w:r>
              <w:rPr>
                <w:rFonts w:ascii="Times New Roman" w:hAnsi="Times New Roman" w:eastAsia="宋体"/>
                <w:b w:val="0"/>
                <w:sz w:val="18"/>
              </w:rPr>
              <w:t>肺恶性肿瘤</w:t>
            </w:r>
          </w:p>
        </w:tc>
        <w:tc>
          <w:tcPr>
            <w:tcW w:type="dxa" w:w="1728"/>
          </w:tcPr>
          <w:p>
            <w:r/>
            <w:r>
              <w:rPr>
                <w:rFonts w:ascii="Times New Roman" w:hAnsi="Times New Roman" w:eastAsia="宋体"/>
                <w:b w:val="0"/>
                <w:sz w:val="18"/>
              </w:rPr>
              <w:t>0.0212</w:t>
            </w:r>
          </w:p>
        </w:tc>
        <w:tc>
          <w:tcPr>
            <w:tcW w:type="dxa" w:w="1728"/>
          </w:tcPr>
          <w:p>
            <w:r/>
            <w:r>
              <w:rPr>
                <w:rFonts w:ascii="Times New Roman" w:hAnsi="Times New Roman" w:eastAsia="宋体"/>
                <w:b w:val="0"/>
                <w:sz w:val="18"/>
              </w:rPr>
              <w:t>0.538</w:t>
            </w:r>
          </w:p>
        </w:tc>
        <w:tc>
          <w:tcPr>
            <w:tcW w:type="dxa" w:w="1728"/>
          </w:tcPr>
          <w:p>
            <w:r/>
            <w:r>
              <w:rPr>
                <w:rFonts w:ascii="Times New Roman" w:hAnsi="Times New Roman" w:eastAsia="宋体"/>
                <w:b w:val="0"/>
                <w:sz w:val="18"/>
              </w:rPr>
              <w:t>4.61</w:t>
            </w:r>
          </w:p>
        </w:tc>
      </w:tr>
    </w:tbl>
    <w:p>
      <w:pPr>
        <w:spacing w:line="360" w:lineRule="auto"/>
        <w:ind w:firstLine="480"/>
      </w:pPr>
      <w:r>
        <w:rPr>
          <w:rFonts w:ascii="Times New Roman" w:hAnsi="Times New Roman" w:eastAsia="宋体"/>
          <w:b w:val="0"/>
          <w:sz w:val="24"/>
        </w:rPr>
        <w:t>提升度最高的规则为「肺大疱 → 肺气肿」，其支持度为4.21%，置信度达79.8%，提升度为9.76，提示肺大疱与肺气肿之间存在显著的统计共现关联。反向规则「肺气肿 → 肺大疱」具有相同的支持度（4.21%）与提升度（9.76），但置信度较低（51.5%），反映了两诊断间双向关联强度的不对称性。</w:t>
      </w:r>
    </w:p>
    <w:p>
      <w:pPr>
        <w:spacing w:line="360" w:lineRule="auto"/>
        <w:ind w:firstLine="480"/>
      </w:pPr>
      <w:r>
        <w:rPr>
          <w:rFonts w:ascii="Times New Roman" w:hAnsi="Times New Roman" w:eastAsia="宋体"/>
          <w:b w:val="0"/>
          <w:sz w:val="24"/>
        </w:rPr>
        <w:t>「慢性乙型病毒性肝炎 → 肝恶性肿瘤」规则的支持度为2.36%，置信度59.2%，提升度8.87，提示慢性乙型病毒性肝炎与肝恶性肿瘤之间存在较强的统计关联。「脑继发恶性肿瘤 → 肺恶性肿瘤」规则的支持度为2.12%，置信度53.8%，提升度4.61，提示脑继发恶性肿瘤患者中肺恶性肿瘤的诊断比例较高。需要强调的是，上述规则仅反映诊断在同一就诊事务中的统计共现模式，不构成因果关系推断；尤其「慢性乙型病毒性肝炎 → 肝恶性肿瘤」虽在临床上符合已知的纵向病程特征，但本数据为横断面回顾性就诊记录，无法确认诊断时间先后顺序，不能据此推断疾病演进关系。</w:t>
      </w:r>
    </w:p>
    <w:p>
      <w:pPr>
        <w:spacing w:line="360" w:lineRule="auto"/>
      </w:pPr>
      <w:r>
        <w:rPr>
          <w:rFonts w:ascii="Times New Roman" w:hAnsi="Times New Roman" w:eastAsia="宋体"/>
          <w:b/>
          <w:sz w:val="24"/>
        </w:rPr>
        <w:t>4.4 疾病共现网络分析结果</w:t>
      </w:r>
    </w:p>
    <w:p>
      <w:pPr>
        <w:spacing w:line="360" w:lineRule="auto"/>
        <w:ind w:firstLine="480"/>
      </w:pPr>
      <w:r>
        <w:rPr>
          <w:rFonts w:ascii="Times New Roman" w:hAnsi="Times New Roman" w:eastAsia="宋体"/>
          <w:b w:val="0"/>
          <w:sz w:val="24"/>
        </w:rPr>
        <w:t>基于诊断共现关系构建的无向加权网络共包含24种疾病节点、50条共现边。共现频次排名前10的诊断对见表3。</w:t>
      </w:r>
    </w:p>
    <w:p>
      <w:pPr>
        <w:jc w:val="center"/>
      </w:pPr>
      <w:r>
        <w:rPr>
          <w:rFonts w:ascii="Times New Roman" w:hAnsi="Times New Roman" w:eastAsia="黑体"/>
          <w:b w:val="0"/>
          <w:sz w:val="20"/>
        </w:rPr>
        <w:t>共现频次排名前10的诊断对</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t>疾病A</w:t>
            </w:r>
          </w:p>
        </w:tc>
        <w:tc>
          <w:tcPr>
            <w:tcW w:type="dxa" w:w="2880"/>
          </w:tcPr>
          <w:p>
            <w:r/>
            <w:r>
              <w:rPr>
                <w:rFonts w:ascii="Times New Roman" w:hAnsi="Times New Roman" w:eastAsia="黑体"/>
                <w:b/>
                <w:sz w:val="18"/>
              </w:rPr>
              <w:t>疾病B</w:t>
            </w:r>
          </w:p>
        </w:tc>
        <w:tc>
          <w:tcPr>
            <w:tcW w:type="dxa" w:w="2880"/>
          </w:tcPr>
          <w:p>
            <w:r/>
            <w:r>
              <w:rPr>
                <w:rFonts w:ascii="Times New Roman" w:hAnsi="Times New Roman" w:eastAsia="黑体"/>
                <w:b/>
                <w:sz w:val="18"/>
              </w:rPr>
              <w:t>共现就诊数</w:t>
            </w:r>
          </w:p>
        </w:tc>
      </w:tr>
      <w:tr>
        <w:tc>
          <w:tcPr>
            <w:tcW w:type="dxa" w:w="2880"/>
          </w:tcPr>
          <w:p>
            <w:r/>
            <w:r>
              <w:rPr>
                <w:rFonts w:ascii="Times New Roman" w:hAnsi="Times New Roman" w:eastAsia="宋体"/>
                <w:b w:val="0"/>
                <w:sz w:val="18"/>
              </w:rPr>
              <w:t>冠状动脉粥样硬化性心脏病</w:t>
            </w:r>
          </w:p>
        </w:tc>
        <w:tc>
          <w:tcPr>
            <w:tcW w:type="dxa" w:w="2880"/>
          </w:tcPr>
          <w:p>
            <w:r/>
            <w:r>
              <w:rPr>
                <w:rFonts w:ascii="Times New Roman" w:hAnsi="Times New Roman" w:eastAsia="宋体"/>
                <w:b w:val="0"/>
                <w:sz w:val="18"/>
              </w:rPr>
              <w:t>高血压</w:t>
            </w:r>
          </w:p>
        </w:tc>
        <w:tc>
          <w:tcPr>
            <w:tcW w:type="dxa" w:w="2880"/>
          </w:tcPr>
          <w:p>
            <w:r/>
            <w:r>
              <w:rPr>
                <w:rFonts w:ascii="Times New Roman" w:hAnsi="Times New Roman" w:eastAsia="宋体"/>
                <w:b w:val="0"/>
                <w:sz w:val="18"/>
              </w:rPr>
              <w:t>1184</w:t>
            </w:r>
          </w:p>
        </w:tc>
      </w:tr>
      <w:tr>
        <w:tc>
          <w:tcPr>
            <w:tcW w:type="dxa" w:w="2880"/>
          </w:tcPr>
          <w:p>
            <w:r/>
            <w:r>
              <w:rPr>
                <w:rFonts w:ascii="Times New Roman" w:hAnsi="Times New Roman" w:eastAsia="宋体"/>
                <w:b w:val="0"/>
                <w:sz w:val="18"/>
              </w:rPr>
              <w:t>冠状动脉粥样硬化性心脏病</w:t>
            </w:r>
          </w:p>
        </w:tc>
        <w:tc>
          <w:tcPr>
            <w:tcW w:type="dxa" w:w="2880"/>
          </w:tcPr>
          <w:p>
            <w:r/>
            <w:r>
              <w:rPr>
                <w:rFonts w:ascii="Times New Roman" w:hAnsi="Times New Roman" w:eastAsia="宋体"/>
                <w:b w:val="0"/>
                <w:sz w:val="18"/>
              </w:rPr>
              <w:t>肺部感染</w:t>
            </w:r>
          </w:p>
        </w:tc>
        <w:tc>
          <w:tcPr>
            <w:tcW w:type="dxa" w:w="2880"/>
          </w:tcPr>
          <w:p>
            <w:r/>
            <w:r>
              <w:rPr>
                <w:rFonts w:ascii="Times New Roman" w:hAnsi="Times New Roman" w:eastAsia="宋体"/>
                <w:b w:val="0"/>
                <w:sz w:val="18"/>
              </w:rPr>
              <w:t>827</w:t>
            </w:r>
          </w:p>
        </w:tc>
      </w:tr>
      <w:tr>
        <w:tc>
          <w:tcPr>
            <w:tcW w:type="dxa" w:w="2880"/>
          </w:tcPr>
          <w:p>
            <w:r/>
            <w:r>
              <w:rPr>
                <w:rFonts w:ascii="Times New Roman" w:hAnsi="Times New Roman" w:eastAsia="宋体"/>
                <w:b w:val="0"/>
                <w:sz w:val="18"/>
              </w:rPr>
              <w:t>肺恶性肿瘤</w:t>
            </w:r>
          </w:p>
        </w:tc>
        <w:tc>
          <w:tcPr>
            <w:tcW w:type="dxa" w:w="2880"/>
          </w:tcPr>
          <w:p>
            <w:r/>
            <w:r>
              <w:rPr>
                <w:rFonts w:ascii="Times New Roman" w:hAnsi="Times New Roman" w:eastAsia="宋体"/>
                <w:b w:val="0"/>
                <w:sz w:val="18"/>
              </w:rPr>
              <w:t>肺部感染</w:t>
            </w:r>
          </w:p>
        </w:tc>
        <w:tc>
          <w:tcPr>
            <w:tcW w:type="dxa" w:w="2880"/>
          </w:tcPr>
          <w:p>
            <w:r/>
            <w:r>
              <w:rPr>
                <w:rFonts w:ascii="Times New Roman" w:hAnsi="Times New Roman" w:eastAsia="宋体"/>
                <w:b w:val="0"/>
                <w:sz w:val="18"/>
              </w:rPr>
              <w:t>625</w:t>
            </w:r>
          </w:p>
        </w:tc>
      </w:tr>
      <w:tr>
        <w:tc>
          <w:tcPr>
            <w:tcW w:type="dxa" w:w="2880"/>
          </w:tcPr>
          <w:p>
            <w:r/>
            <w:r>
              <w:rPr>
                <w:rFonts w:ascii="Times New Roman" w:hAnsi="Times New Roman" w:eastAsia="宋体"/>
                <w:b w:val="0"/>
                <w:sz w:val="18"/>
              </w:rPr>
              <w:t>脑梗死</w:t>
            </w:r>
          </w:p>
        </w:tc>
        <w:tc>
          <w:tcPr>
            <w:tcW w:type="dxa" w:w="2880"/>
          </w:tcPr>
          <w:p>
            <w:r/>
            <w:r>
              <w:rPr>
                <w:rFonts w:ascii="Times New Roman" w:hAnsi="Times New Roman" w:eastAsia="宋体"/>
                <w:b w:val="0"/>
                <w:sz w:val="18"/>
              </w:rPr>
              <w:t>高血压</w:t>
            </w:r>
          </w:p>
        </w:tc>
        <w:tc>
          <w:tcPr>
            <w:tcW w:type="dxa" w:w="2880"/>
          </w:tcPr>
          <w:p>
            <w:r/>
            <w:r>
              <w:rPr>
                <w:rFonts w:ascii="Times New Roman" w:hAnsi="Times New Roman" w:eastAsia="宋体"/>
                <w:b w:val="0"/>
                <w:sz w:val="18"/>
              </w:rPr>
              <w:t>624</w:t>
            </w:r>
          </w:p>
        </w:tc>
      </w:tr>
      <w:tr>
        <w:tc>
          <w:tcPr>
            <w:tcW w:type="dxa" w:w="2880"/>
          </w:tcPr>
          <w:p>
            <w:r/>
            <w:r>
              <w:rPr>
                <w:rFonts w:ascii="Times New Roman" w:hAnsi="Times New Roman" w:eastAsia="宋体"/>
                <w:b w:val="0"/>
                <w:sz w:val="18"/>
              </w:rPr>
              <w:t>冠状动脉粥样硬化性心脏病</w:t>
            </w:r>
          </w:p>
        </w:tc>
        <w:tc>
          <w:tcPr>
            <w:tcW w:type="dxa" w:w="2880"/>
          </w:tcPr>
          <w:p>
            <w:r/>
            <w:r>
              <w:rPr>
                <w:rFonts w:ascii="Times New Roman" w:hAnsi="Times New Roman" w:eastAsia="宋体"/>
                <w:b w:val="0"/>
                <w:sz w:val="18"/>
              </w:rPr>
              <w:t>肺恶性肿瘤</w:t>
            </w:r>
          </w:p>
        </w:tc>
        <w:tc>
          <w:tcPr>
            <w:tcW w:type="dxa" w:w="2880"/>
          </w:tcPr>
          <w:p>
            <w:r/>
            <w:r>
              <w:rPr>
                <w:rFonts w:ascii="Times New Roman" w:hAnsi="Times New Roman" w:eastAsia="宋体"/>
                <w:b w:val="0"/>
                <w:sz w:val="18"/>
              </w:rPr>
              <w:t>585</w:t>
            </w:r>
          </w:p>
        </w:tc>
      </w:tr>
      <w:tr>
        <w:tc>
          <w:tcPr>
            <w:tcW w:type="dxa" w:w="2880"/>
          </w:tcPr>
          <w:p>
            <w:r/>
            <w:r>
              <w:rPr>
                <w:rFonts w:ascii="Times New Roman" w:hAnsi="Times New Roman" w:eastAsia="宋体"/>
                <w:b w:val="0"/>
                <w:sz w:val="18"/>
              </w:rPr>
              <w:t>肺大疱</w:t>
            </w:r>
          </w:p>
        </w:tc>
        <w:tc>
          <w:tcPr>
            <w:tcW w:type="dxa" w:w="2880"/>
          </w:tcPr>
          <w:p>
            <w:r/>
            <w:r>
              <w:rPr>
                <w:rFonts w:ascii="Times New Roman" w:hAnsi="Times New Roman" w:eastAsia="宋体"/>
                <w:b w:val="0"/>
                <w:sz w:val="18"/>
              </w:rPr>
              <w:t>肺气肿</w:t>
            </w:r>
          </w:p>
        </w:tc>
        <w:tc>
          <w:tcPr>
            <w:tcW w:type="dxa" w:w="2880"/>
          </w:tcPr>
          <w:p>
            <w:r/>
            <w:r>
              <w:rPr>
                <w:rFonts w:ascii="Times New Roman" w:hAnsi="Times New Roman" w:eastAsia="宋体"/>
                <w:b w:val="0"/>
                <w:sz w:val="18"/>
              </w:rPr>
              <w:t>561</w:t>
            </w:r>
          </w:p>
        </w:tc>
      </w:tr>
      <w:tr>
        <w:tc>
          <w:tcPr>
            <w:tcW w:type="dxa" w:w="2880"/>
          </w:tcPr>
          <w:p>
            <w:r/>
            <w:r>
              <w:rPr>
                <w:rFonts w:ascii="Times New Roman" w:hAnsi="Times New Roman" w:eastAsia="宋体"/>
                <w:b w:val="0"/>
                <w:sz w:val="18"/>
              </w:rPr>
              <w:t>冠状动脉粥样硬化性心脏病</w:t>
            </w:r>
          </w:p>
        </w:tc>
        <w:tc>
          <w:tcPr>
            <w:tcW w:type="dxa" w:w="2880"/>
          </w:tcPr>
          <w:p>
            <w:r/>
            <w:r>
              <w:rPr>
                <w:rFonts w:ascii="Times New Roman" w:hAnsi="Times New Roman" w:eastAsia="宋体"/>
                <w:b w:val="0"/>
                <w:sz w:val="18"/>
              </w:rPr>
              <w:t>脑梗死</w:t>
            </w:r>
          </w:p>
        </w:tc>
        <w:tc>
          <w:tcPr>
            <w:tcW w:type="dxa" w:w="2880"/>
          </w:tcPr>
          <w:p>
            <w:r/>
            <w:r>
              <w:rPr>
                <w:rFonts w:ascii="Times New Roman" w:hAnsi="Times New Roman" w:eastAsia="宋体"/>
                <w:b w:val="0"/>
                <w:sz w:val="18"/>
              </w:rPr>
              <w:t>536</w:t>
            </w:r>
          </w:p>
        </w:tc>
      </w:tr>
      <w:tr>
        <w:tc>
          <w:tcPr>
            <w:tcW w:type="dxa" w:w="2880"/>
          </w:tcPr>
          <w:p>
            <w:r/>
            <w:r>
              <w:rPr>
                <w:rFonts w:ascii="Times New Roman" w:hAnsi="Times New Roman" w:eastAsia="宋体"/>
                <w:b w:val="0"/>
                <w:sz w:val="18"/>
              </w:rPr>
              <w:t>冠状动脉粥样硬化性心脏病</w:t>
            </w:r>
          </w:p>
        </w:tc>
        <w:tc>
          <w:tcPr>
            <w:tcW w:type="dxa" w:w="2880"/>
          </w:tcPr>
          <w:p>
            <w:r/>
            <w:r>
              <w:rPr>
                <w:rFonts w:ascii="Times New Roman" w:hAnsi="Times New Roman" w:eastAsia="宋体"/>
                <w:b w:val="0"/>
                <w:sz w:val="18"/>
              </w:rPr>
              <w:t>糖尿病</w:t>
            </w:r>
          </w:p>
        </w:tc>
        <w:tc>
          <w:tcPr>
            <w:tcW w:type="dxa" w:w="2880"/>
          </w:tcPr>
          <w:p>
            <w:r/>
            <w:r>
              <w:rPr>
                <w:rFonts w:ascii="Times New Roman" w:hAnsi="Times New Roman" w:eastAsia="宋体"/>
                <w:b w:val="0"/>
                <w:sz w:val="18"/>
              </w:rPr>
              <w:t>457</w:t>
            </w:r>
          </w:p>
        </w:tc>
      </w:tr>
      <w:tr>
        <w:tc>
          <w:tcPr>
            <w:tcW w:type="dxa" w:w="2880"/>
          </w:tcPr>
          <w:p>
            <w:r/>
            <w:r>
              <w:rPr>
                <w:rFonts w:ascii="Times New Roman" w:hAnsi="Times New Roman" w:eastAsia="宋体"/>
                <w:b w:val="0"/>
                <w:sz w:val="18"/>
              </w:rPr>
              <w:t>糖尿病</w:t>
            </w:r>
          </w:p>
        </w:tc>
        <w:tc>
          <w:tcPr>
            <w:tcW w:type="dxa" w:w="2880"/>
          </w:tcPr>
          <w:p>
            <w:r/>
            <w:r>
              <w:rPr>
                <w:rFonts w:ascii="Times New Roman" w:hAnsi="Times New Roman" w:eastAsia="宋体"/>
                <w:b w:val="0"/>
                <w:sz w:val="18"/>
              </w:rPr>
              <w:t>高血压</w:t>
            </w:r>
          </w:p>
        </w:tc>
        <w:tc>
          <w:tcPr>
            <w:tcW w:type="dxa" w:w="2880"/>
          </w:tcPr>
          <w:p>
            <w:r/>
            <w:r>
              <w:rPr>
                <w:rFonts w:ascii="Times New Roman" w:hAnsi="Times New Roman" w:eastAsia="宋体"/>
                <w:b w:val="0"/>
                <w:sz w:val="18"/>
              </w:rPr>
              <w:t>446</w:t>
            </w:r>
          </w:p>
        </w:tc>
      </w:tr>
      <w:tr>
        <w:tc>
          <w:tcPr>
            <w:tcW w:type="dxa" w:w="2880"/>
          </w:tcPr>
          <w:p>
            <w:r/>
            <w:r>
              <w:rPr>
                <w:rFonts w:ascii="Times New Roman" w:hAnsi="Times New Roman" w:eastAsia="宋体"/>
                <w:b w:val="0"/>
                <w:sz w:val="18"/>
              </w:rPr>
              <w:t>淋巴结继发恶性肿瘤</w:t>
            </w:r>
          </w:p>
        </w:tc>
        <w:tc>
          <w:tcPr>
            <w:tcW w:type="dxa" w:w="2880"/>
          </w:tcPr>
          <w:p>
            <w:r/>
            <w:r>
              <w:rPr>
                <w:rFonts w:ascii="Times New Roman" w:hAnsi="Times New Roman" w:eastAsia="宋体"/>
                <w:b w:val="0"/>
                <w:sz w:val="18"/>
              </w:rPr>
              <w:t>肺恶性肿瘤</w:t>
            </w:r>
          </w:p>
        </w:tc>
        <w:tc>
          <w:tcPr>
            <w:tcW w:type="dxa" w:w="2880"/>
          </w:tcPr>
          <w:p>
            <w:r/>
            <w:r>
              <w:rPr>
                <w:rFonts w:ascii="Times New Roman" w:hAnsi="Times New Roman" w:eastAsia="宋体"/>
                <w:b w:val="0"/>
                <w:sz w:val="18"/>
              </w:rPr>
              <w:t>445</w:t>
            </w:r>
          </w:p>
        </w:tc>
      </w:tr>
      <w:tr>
        <w:tc>
          <w:tcPr>
            <w:tcW w:type="dxa" w:w="2880"/>
          </w:tcPr>
          <w:p>
            <w:r/>
            <w:r>
              <w:rPr>
                <w:rFonts w:ascii="Times New Roman" w:hAnsi="Times New Roman" w:eastAsia="宋体"/>
                <w:b w:val="0"/>
                <w:sz w:val="18"/>
              </w:rPr>
              <w:t>肺部感染</w:t>
            </w:r>
          </w:p>
        </w:tc>
        <w:tc>
          <w:tcPr>
            <w:tcW w:type="dxa" w:w="2880"/>
          </w:tcPr>
          <w:p>
            <w:r/>
            <w:r>
              <w:rPr>
                <w:rFonts w:ascii="Times New Roman" w:hAnsi="Times New Roman" w:eastAsia="宋体"/>
                <w:b w:val="0"/>
                <w:sz w:val="18"/>
              </w:rPr>
              <w:t>高血压</w:t>
            </w:r>
          </w:p>
        </w:tc>
        <w:tc>
          <w:tcPr>
            <w:tcW w:type="dxa" w:w="2880"/>
          </w:tcPr>
          <w:p>
            <w:r/>
            <w:r>
              <w:rPr>
                <w:rFonts w:ascii="Times New Roman" w:hAnsi="Times New Roman" w:eastAsia="宋体"/>
                <w:b w:val="0"/>
                <w:sz w:val="18"/>
              </w:rPr>
              <w:t>434</w:t>
            </w:r>
          </w:p>
        </w:tc>
      </w:tr>
      <w:tr>
        <w:tc>
          <w:tcPr>
            <w:tcW w:type="dxa" w:w="2880"/>
          </w:tcPr>
          <w:p>
            <w:r/>
            <w:r>
              <w:rPr>
                <w:rFonts w:ascii="Times New Roman" w:hAnsi="Times New Roman" w:eastAsia="宋体"/>
                <w:b w:val="0"/>
                <w:sz w:val="18"/>
              </w:rPr>
              <w:t>冠状动脉粥样硬化性心脏病</w:t>
            </w:r>
          </w:p>
        </w:tc>
        <w:tc>
          <w:tcPr>
            <w:tcW w:type="dxa" w:w="2880"/>
          </w:tcPr>
          <w:p>
            <w:r/>
            <w:r>
              <w:rPr>
                <w:rFonts w:ascii="Times New Roman" w:hAnsi="Times New Roman" w:eastAsia="宋体"/>
                <w:b w:val="0"/>
                <w:sz w:val="18"/>
              </w:rPr>
              <w:t>恶性肿瘤终末期维持治疗</w:t>
            </w:r>
          </w:p>
        </w:tc>
        <w:tc>
          <w:tcPr>
            <w:tcW w:type="dxa" w:w="2880"/>
          </w:tcPr>
          <w:p>
            <w:r/>
            <w:r>
              <w:rPr>
                <w:rFonts w:ascii="Times New Roman" w:hAnsi="Times New Roman" w:eastAsia="宋体"/>
                <w:b w:val="0"/>
                <w:sz w:val="18"/>
              </w:rPr>
              <w:t>404</w:t>
            </w:r>
          </w:p>
        </w:tc>
      </w:tr>
      <w:tr>
        <w:tc>
          <w:tcPr>
            <w:tcW w:type="dxa" w:w="2880"/>
          </w:tcPr>
          <w:p>
            <w:r/>
            <w:r>
              <w:rPr>
                <w:rFonts w:ascii="Times New Roman" w:hAnsi="Times New Roman" w:eastAsia="宋体"/>
                <w:b w:val="0"/>
                <w:sz w:val="18"/>
              </w:rPr>
              <w:t>肺恶性肿瘤</w:t>
            </w:r>
          </w:p>
        </w:tc>
        <w:tc>
          <w:tcPr>
            <w:tcW w:type="dxa" w:w="2880"/>
          </w:tcPr>
          <w:p>
            <w:r/>
            <w:r>
              <w:rPr>
                <w:rFonts w:ascii="Times New Roman" w:hAnsi="Times New Roman" w:eastAsia="宋体"/>
                <w:b w:val="0"/>
                <w:sz w:val="18"/>
              </w:rPr>
              <w:t>高血压</w:t>
            </w:r>
          </w:p>
        </w:tc>
        <w:tc>
          <w:tcPr>
            <w:tcW w:type="dxa" w:w="2880"/>
          </w:tcPr>
          <w:p>
            <w:r/>
            <w:r>
              <w:rPr>
                <w:rFonts w:ascii="Times New Roman" w:hAnsi="Times New Roman" w:eastAsia="宋体"/>
                <w:b w:val="0"/>
                <w:sz w:val="18"/>
              </w:rPr>
              <w:t>376</w:t>
            </w:r>
          </w:p>
        </w:tc>
      </w:tr>
      <w:tr>
        <w:tc>
          <w:tcPr>
            <w:tcW w:type="dxa" w:w="2880"/>
          </w:tcPr>
          <w:p>
            <w:r/>
            <w:r>
              <w:rPr>
                <w:rFonts w:ascii="Times New Roman" w:hAnsi="Times New Roman" w:eastAsia="宋体"/>
                <w:b w:val="0"/>
                <w:sz w:val="18"/>
              </w:rPr>
              <w:t>冠状动脉粥样硬化性心脏病</w:t>
            </w:r>
          </w:p>
        </w:tc>
        <w:tc>
          <w:tcPr>
            <w:tcW w:type="dxa" w:w="2880"/>
          </w:tcPr>
          <w:p>
            <w:r/>
            <w:r>
              <w:rPr>
                <w:rFonts w:ascii="Times New Roman" w:hAnsi="Times New Roman" w:eastAsia="宋体"/>
                <w:b w:val="0"/>
                <w:sz w:val="18"/>
              </w:rPr>
              <w:t>淋巴结继发恶性肿瘤</w:t>
            </w:r>
          </w:p>
        </w:tc>
        <w:tc>
          <w:tcPr>
            <w:tcW w:type="dxa" w:w="2880"/>
          </w:tcPr>
          <w:p>
            <w:r/>
            <w:r>
              <w:rPr>
                <w:rFonts w:ascii="Times New Roman" w:hAnsi="Times New Roman" w:eastAsia="宋体"/>
                <w:b w:val="0"/>
                <w:sz w:val="18"/>
              </w:rPr>
              <w:t>367</w:t>
            </w:r>
          </w:p>
        </w:tc>
      </w:tr>
      <w:tr>
        <w:tc>
          <w:tcPr>
            <w:tcW w:type="dxa" w:w="2880"/>
          </w:tcPr>
          <w:p>
            <w:r/>
            <w:r>
              <w:rPr>
                <w:rFonts w:ascii="Times New Roman" w:hAnsi="Times New Roman" w:eastAsia="宋体"/>
                <w:b w:val="0"/>
                <w:sz w:val="18"/>
              </w:rPr>
              <w:t>冠状动脉粥样硬化性心脏病</w:t>
            </w:r>
          </w:p>
        </w:tc>
        <w:tc>
          <w:tcPr>
            <w:tcW w:type="dxa" w:w="2880"/>
          </w:tcPr>
          <w:p>
            <w:r/>
            <w:r>
              <w:rPr>
                <w:rFonts w:ascii="Times New Roman" w:hAnsi="Times New Roman" w:eastAsia="宋体"/>
                <w:b w:val="0"/>
                <w:sz w:val="18"/>
              </w:rPr>
              <w:t>左肺恶性肿瘤</w:t>
            </w:r>
          </w:p>
        </w:tc>
        <w:tc>
          <w:tcPr>
            <w:tcW w:type="dxa" w:w="2880"/>
          </w:tcPr>
          <w:p>
            <w:r/>
            <w:r>
              <w:rPr>
                <w:rFonts w:ascii="Times New Roman" w:hAnsi="Times New Roman" w:eastAsia="宋体"/>
                <w:b w:val="0"/>
                <w:sz w:val="18"/>
              </w:rPr>
              <w:t>359</w:t>
            </w:r>
          </w:p>
        </w:tc>
      </w:tr>
      <w:tr>
        <w:tc>
          <w:tcPr>
            <w:tcW w:type="dxa" w:w="2880"/>
          </w:tcPr>
          <w:p>
            <w:r/>
            <w:r>
              <w:rPr>
                <w:rFonts w:ascii="Times New Roman" w:hAnsi="Times New Roman" w:eastAsia="宋体"/>
                <w:b w:val="0"/>
                <w:sz w:val="18"/>
              </w:rPr>
              <w:t>肺气肿</w:t>
            </w:r>
          </w:p>
        </w:tc>
        <w:tc>
          <w:tcPr>
            <w:tcW w:type="dxa" w:w="2880"/>
          </w:tcPr>
          <w:p>
            <w:r/>
            <w:r>
              <w:rPr>
                <w:rFonts w:ascii="Times New Roman" w:hAnsi="Times New Roman" w:eastAsia="宋体"/>
                <w:b w:val="0"/>
                <w:sz w:val="18"/>
              </w:rPr>
              <w:t>肺部感染</w:t>
            </w:r>
          </w:p>
        </w:tc>
        <w:tc>
          <w:tcPr>
            <w:tcW w:type="dxa" w:w="2880"/>
          </w:tcPr>
          <w:p>
            <w:r/>
            <w:r>
              <w:rPr>
                <w:rFonts w:ascii="Times New Roman" w:hAnsi="Times New Roman" w:eastAsia="宋体"/>
                <w:b w:val="0"/>
                <w:sz w:val="18"/>
              </w:rPr>
              <w:t>341</w:t>
            </w:r>
          </w:p>
        </w:tc>
      </w:tr>
      <w:tr>
        <w:tc>
          <w:tcPr>
            <w:tcW w:type="dxa" w:w="2880"/>
          </w:tcPr>
          <w:p>
            <w:r/>
            <w:r>
              <w:rPr>
                <w:rFonts w:ascii="Times New Roman" w:hAnsi="Times New Roman" w:eastAsia="宋体"/>
                <w:b w:val="0"/>
                <w:sz w:val="18"/>
              </w:rPr>
              <w:t>肺恶性肿瘤</w:t>
            </w:r>
          </w:p>
        </w:tc>
        <w:tc>
          <w:tcPr>
            <w:tcW w:type="dxa" w:w="2880"/>
          </w:tcPr>
          <w:p>
            <w:r/>
            <w:r>
              <w:rPr>
                <w:rFonts w:ascii="Times New Roman" w:hAnsi="Times New Roman" w:eastAsia="宋体"/>
                <w:b w:val="0"/>
                <w:sz w:val="18"/>
              </w:rPr>
              <w:t>骨继发恶性肿瘤</w:t>
            </w:r>
          </w:p>
        </w:tc>
        <w:tc>
          <w:tcPr>
            <w:tcW w:type="dxa" w:w="2880"/>
          </w:tcPr>
          <w:p>
            <w:r/>
            <w:r>
              <w:rPr>
                <w:rFonts w:ascii="Times New Roman" w:hAnsi="Times New Roman" w:eastAsia="宋体"/>
                <w:b w:val="0"/>
                <w:sz w:val="18"/>
              </w:rPr>
              <w:t>333</w:t>
            </w:r>
          </w:p>
        </w:tc>
      </w:tr>
      <w:tr>
        <w:tc>
          <w:tcPr>
            <w:tcW w:type="dxa" w:w="2880"/>
          </w:tcPr>
          <w:p>
            <w:r/>
            <w:r>
              <w:rPr>
                <w:rFonts w:ascii="Times New Roman" w:hAnsi="Times New Roman" w:eastAsia="宋体"/>
                <w:b w:val="0"/>
                <w:sz w:val="18"/>
              </w:rPr>
              <w:t>肺部感染</w:t>
            </w:r>
          </w:p>
        </w:tc>
        <w:tc>
          <w:tcPr>
            <w:tcW w:type="dxa" w:w="2880"/>
          </w:tcPr>
          <w:p>
            <w:r/>
            <w:r>
              <w:rPr>
                <w:rFonts w:ascii="Times New Roman" w:hAnsi="Times New Roman" w:eastAsia="宋体"/>
                <w:b w:val="0"/>
                <w:sz w:val="18"/>
              </w:rPr>
              <w:t>胸腔积液</w:t>
            </w:r>
          </w:p>
        </w:tc>
        <w:tc>
          <w:tcPr>
            <w:tcW w:type="dxa" w:w="2880"/>
          </w:tcPr>
          <w:p>
            <w:r/>
            <w:r>
              <w:rPr>
                <w:rFonts w:ascii="Times New Roman" w:hAnsi="Times New Roman" w:eastAsia="宋体"/>
                <w:b w:val="0"/>
                <w:sz w:val="18"/>
              </w:rPr>
              <w:t>327</w:t>
            </w:r>
          </w:p>
        </w:tc>
      </w:tr>
      <w:tr>
        <w:tc>
          <w:tcPr>
            <w:tcW w:type="dxa" w:w="2880"/>
          </w:tcPr>
          <w:p>
            <w:r/>
            <w:r>
              <w:rPr>
                <w:rFonts w:ascii="Times New Roman" w:hAnsi="Times New Roman" w:eastAsia="宋体"/>
                <w:b w:val="0"/>
                <w:sz w:val="18"/>
              </w:rPr>
              <w:t>慢性乙型病毒性肝炎</w:t>
            </w:r>
          </w:p>
        </w:tc>
        <w:tc>
          <w:tcPr>
            <w:tcW w:type="dxa" w:w="2880"/>
          </w:tcPr>
          <w:p>
            <w:r/>
            <w:r>
              <w:rPr>
                <w:rFonts w:ascii="Times New Roman" w:hAnsi="Times New Roman" w:eastAsia="宋体"/>
                <w:b w:val="0"/>
                <w:sz w:val="18"/>
              </w:rPr>
              <w:t>肝恶性肿瘤</w:t>
            </w:r>
          </w:p>
        </w:tc>
        <w:tc>
          <w:tcPr>
            <w:tcW w:type="dxa" w:w="2880"/>
          </w:tcPr>
          <w:p>
            <w:r/>
            <w:r>
              <w:rPr>
                <w:rFonts w:ascii="Times New Roman" w:hAnsi="Times New Roman" w:eastAsia="宋体"/>
                <w:b w:val="0"/>
                <w:sz w:val="18"/>
              </w:rPr>
              <w:t>315</w:t>
            </w:r>
          </w:p>
        </w:tc>
      </w:tr>
      <w:tr>
        <w:tc>
          <w:tcPr>
            <w:tcW w:type="dxa" w:w="2880"/>
          </w:tcPr>
          <w:p>
            <w:r/>
            <w:r>
              <w:rPr>
                <w:rFonts w:ascii="Times New Roman" w:hAnsi="Times New Roman" w:eastAsia="宋体"/>
                <w:b w:val="0"/>
                <w:sz w:val="18"/>
              </w:rPr>
              <w:t>冠状动脉粥样硬化性心脏病</w:t>
            </w:r>
          </w:p>
        </w:tc>
        <w:tc>
          <w:tcPr>
            <w:tcW w:type="dxa" w:w="2880"/>
          </w:tcPr>
          <w:p>
            <w:r/>
            <w:r>
              <w:rPr>
                <w:rFonts w:ascii="Times New Roman" w:hAnsi="Times New Roman" w:eastAsia="宋体"/>
                <w:b w:val="0"/>
                <w:sz w:val="18"/>
              </w:rPr>
              <w:t>食管恶性肿瘤</w:t>
            </w:r>
          </w:p>
        </w:tc>
        <w:tc>
          <w:tcPr>
            <w:tcW w:type="dxa" w:w="2880"/>
          </w:tcPr>
          <w:p>
            <w:r/>
            <w:r>
              <w:rPr>
                <w:rFonts w:ascii="Times New Roman" w:hAnsi="Times New Roman" w:eastAsia="宋体"/>
                <w:b w:val="0"/>
                <w:sz w:val="18"/>
              </w:rPr>
              <w:t>311</w:t>
            </w:r>
          </w:p>
        </w:tc>
      </w:tr>
    </w:tbl>
    <w:p>
      <w:pPr>
        <w:spacing w:line="360" w:lineRule="auto"/>
        <w:ind w:firstLine="480"/>
      </w:pPr>
      <w:r>
        <w:rPr>
          <w:rFonts w:ascii="Times New Roman" w:hAnsi="Times New Roman" w:eastAsia="宋体"/>
          <w:b w:val="0"/>
          <w:sz w:val="24"/>
        </w:rPr>
        <w:t>共现最强的诊断对为「冠状动脉粥样硬化性心脏病 — 高血压」，共同出现于1,184次就诊事务中，远高于其他诊断对，提示两者在老年住院患者中具有突出的共现聚集性。其次为「冠状动脉粥样硬化性心脏病 — 肺部感染」（827次）与「肺恶性肿瘤 — 肺部感染」（625次），反映出肺部感染在心血管疾病及恶性肿瘤患者中的高频伴随出现。</w:t>
      </w:r>
    </w:p>
    <w:p>
      <w:pPr>
        <w:spacing w:line="360" w:lineRule="auto"/>
        <w:ind w:firstLine="480"/>
      </w:pPr>
      <w:r>
        <w:rPr>
          <w:rFonts w:ascii="Times New Roman" w:hAnsi="Times New Roman" w:eastAsia="宋体"/>
          <w:b w:val="0"/>
          <w:sz w:val="24"/>
        </w:rPr>
        <w:t>从网络结构来看，冠状动脉粥样硬化性心脏病参与了共现频次前10诊断对中的5对（分别与高血压、肺部感染、肺恶性肿瘤、脑梗死、糖尿病共现），提示其在该共现网络中可能处于核心枢纽地位。高血压参与了3对（与冠状动脉粥样硬化性心脏病、脑梗死、糖尿病共现），肺恶性肿瘤亦参与了3对（与肺部感染、冠状动脉粥样硬化性心脏病、淋巴结继发恶性肿瘤共现）。此外，脑梗死—高血压（624次）、肺大疱—肺气肿（561次）、冠状动脉粥样硬化性心脏病—糖尿病（457次）、糖尿病—高血压（446次）及淋巴结继发恶性肿瘤—肺恶性肿瘤（445次）等诊断对亦表现出较高的共现频次。需要说明的是，上述枢纽地位判断仅基于共现频次前10诊断对的参与计数，网络中心性指标（如度中心性、介数中心性等）因原始数据未记录而未予计算，故"核心枢纽"的结论为描述性推断，尚缺乏定量网络指标的直接支持。</w:t>
      </w:r>
    </w:p>
    <w:p>
      <w:pPr>
        <w:spacing w:line="360" w:lineRule="auto"/>
        <w:ind w:firstLine="480"/>
      </w:pPr>
      <w:r>
        <w:rPr>
          <w:rFonts w:ascii="Times New Roman" w:hAnsi="Times New Roman" w:eastAsia="宋体"/>
          <w:b w:val="0"/>
          <w:sz w:val="24"/>
        </w:rPr>
        <w:t>综合频繁项集挖掘、关联规则分析及共现网络结果，老年住院患者的多病共存模式呈现以下结构性特征：（1）以冠状动脉粥样硬化性心脏病与高血压为核心的心血管代谢聚集群；（2）以肺部感染为交汇点的呼吸系统与全身性疾病关联群；（3）以肺恶性肿瘤及其继发转移为特征的恶性肿瘤关联群。上述模式为描述性发现，其临床意义有待进一步验证。</w:t>
      </w:r>
    </w:p>
    <w:p>
      <w:r>
        <w:drawing>
          <wp:inline xmlns:a="http://schemas.openxmlformats.org/drawingml/2006/main" xmlns:pic="http://schemas.openxmlformats.org/drawingml/2006/picture">
            <wp:extent cx="5080000" cy="3175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80000" cy="3175000"/>
                    </a:xfrm>
                    <a:prstGeom prst="rect"/>
                  </pic:spPr>
                </pic:pic>
              </a:graphicData>
            </a:graphic>
          </wp:inline>
        </w:drawing>
      </w:r>
    </w:p>
    <w:p>
      <w:pPr>
        <w:jc w:val="center"/>
      </w:pPr>
      <w:r>
        <w:rPr>
          <w:rFonts w:ascii="Times New Roman" w:hAnsi="Times New Roman" w:eastAsia="黑体"/>
          <w:b w:val="0"/>
          <w:sz w:val="20"/>
        </w:rPr>
        <w:t>频繁诊断组合支持度</w:t>
      </w:r>
    </w:p>
    <w:p>
      <w:r>
        <w:drawing>
          <wp:inline xmlns:a="http://schemas.openxmlformats.org/drawingml/2006/main" xmlns:pic="http://schemas.openxmlformats.org/drawingml/2006/picture">
            <wp:extent cx="5080000" cy="3175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80000" cy="3175000"/>
                    </a:xfrm>
                    <a:prstGeom prst="rect"/>
                  </pic:spPr>
                </pic:pic>
              </a:graphicData>
            </a:graphic>
          </wp:inline>
        </w:drawing>
      </w:r>
    </w:p>
    <w:p>
      <w:pPr>
        <w:jc w:val="center"/>
      </w:pPr>
      <w:r>
        <w:rPr>
          <w:rFonts w:ascii="Times New Roman" w:hAnsi="Times New Roman" w:eastAsia="黑体"/>
          <w:b w:val="0"/>
          <w:sz w:val="20"/>
        </w:rPr>
        <w:t>关联规则提升度</w:t>
      </w:r>
    </w:p>
    <w:p>
      <w:r>
        <w:rPr>
          <w:rFonts w:ascii="Times New Roman" w:hAnsi="Times New Roman" w:eastAsia="黑体"/>
          <w:b/>
          <w:sz w:val="28"/>
        </w:rPr>
        <w:t>讨论</w:t>
      </w:r>
    </w:p>
    <w:p>
      <w:pPr>
        <w:spacing w:line="360" w:lineRule="auto"/>
      </w:pPr>
      <w:r>
        <w:rPr>
          <w:rFonts w:ascii="Times New Roman" w:hAnsi="Times New Roman" w:eastAsia="宋体"/>
          <w:b/>
          <w:sz w:val="24"/>
        </w:rPr>
        <w:t>5 讨论</w:t>
      </w:r>
    </w:p>
    <w:p>
      <w:pPr>
        <w:spacing w:line="360" w:lineRule="auto"/>
      </w:pPr>
      <w:r>
        <w:rPr>
          <w:rFonts w:ascii="Times New Roman" w:hAnsi="Times New Roman" w:eastAsia="宋体"/>
          <w:b/>
          <w:sz w:val="24"/>
        </w:rPr>
        <w:t>5.1 主要发现</w:t>
      </w:r>
    </w:p>
    <w:p>
      <w:pPr>
        <w:spacing w:line="360" w:lineRule="auto"/>
        <w:ind w:firstLine="480"/>
      </w:pPr>
      <w:r>
        <w:rPr>
          <w:rFonts w:ascii="Times New Roman" w:hAnsi="Times New Roman" w:eastAsia="宋体"/>
          <w:b w:val="0"/>
          <w:sz w:val="24"/>
        </w:rPr>
        <w:t>本研究基于某县级医院肿瘤血液科13,320条老年住院就诊事务，运用频繁项集挖掘、关联规则与疾病共现网络三种互补的数据驱动方法，系统描绘了老年住院患者的多病共存结构。主要发现可归纳为三点：其一，高频诊断集中于冠状动脉粥样硬化性心脏病（支持度27.61%）、高血压（19.49%）、肺部感染（16.79%）等心脑血管与呼吸系统疾病，提示这些疾病构成该老年住院人群的“基础性”疾病负担；其二，首个多诊断组合「冠状动脉粥样硬化性心脏病+高血压」支持度达8.89%，且该诊断对以1,184次共同出现位居共现网络首位，进一步印证了心脑血管代谢性疾病在老年多病共存中的核心聚集地位；其三，关联规则分析识别出「肺大疱→肺气肿」（置信度79.8%，提升度9.76）与「慢性乙型病毒性肝炎→肝恶性肿瘤」（置信度59.2%，提升度8.87）两条强关联规则，前者反映了同系统疾病在病理生理上的邻近性，后者则提示慢性病毒感染与恶性肿瘤之间可能存在纵向演进关联。需要强调的是，本研究为回顾性横断面设计，关联规则的方向性仅反映统计上的条件概率关系，不能据此推断时间先后或因果作用。</w:t>
      </w:r>
    </w:p>
    <w:p>
      <w:pPr>
        <w:spacing w:line="360" w:lineRule="auto"/>
      </w:pPr>
      <w:r>
        <w:rPr>
          <w:rFonts w:ascii="Times New Roman" w:hAnsi="Times New Roman" w:eastAsia="宋体"/>
          <w:b/>
          <w:sz w:val="24"/>
        </w:rPr>
        <w:t>5.2 与既往研究的比较</w:t>
      </w:r>
    </w:p>
    <w:p>
      <w:pPr>
        <w:spacing w:line="360" w:lineRule="auto"/>
        <w:ind w:firstLine="480"/>
      </w:pPr>
      <w:r>
        <w:rPr>
          <w:rFonts w:ascii="Times New Roman" w:hAnsi="Times New Roman" w:eastAsia="宋体"/>
          <w:b w:val="0"/>
          <w:sz w:val="24"/>
        </w:rPr>
        <w:t>本研究所揭示的心血管—代谢疾病群集模式与既有文献具有一致性。爱尔兰老年人群的网络分析同样发现冠心病与高血压构成紧密的共病簇[1]；中国中老年慢性病共病演化研究亦报告了类似的心脑血管疾病聚集趋势[2]。针对50岁以上住院患者的多病共存网络分析表明，糖尿病作为枢纽节点连接多条共病路径[5]。本研究虽未对糖尿病进行中心性量化，但「冠状动脉粥样硬化性心脏病—糖尿病」（457次）与「糖尿病—高血压」（446次）均位列共现频次前十，支持代谢紊乱在老年多病网络中的桥梁作用。值得注意的是，本研究数据来源于肿瘤血液科，恶性肿瘤相关诊断（肺恶性肿瘤、淋巴结继发恶性肿瘤、恶性肿瘤终末期维持治疗）在频繁项集中占据突出位置，这可能反映了科室收治结构对疾病谱的塑造作用，而非老年人群总体的真实疾病分布。一项基于江苏老年住院患者的大样本研究亦发现恶性肿瘤与呼吸系统疾病存在显著共现[7]，与本研究观察到的「肺恶性肿瘤—肺部感染」共现（625次）相符。该共现模式可能提示肿瘤患者因免疫功能受损而易合并感染，或感染可能作为肿瘤发现的线索性事件，但本研究数据无法区分这两种可能性。</w:t>
      </w:r>
    </w:p>
    <w:p>
      <w:pPr>
        <w:spacing w:line="360" w:lineRule="auto"/>
      </w:pPr>
      <w:r>
        <w:rPr>
          <w:rFonts w:ascii="Times New Roman" w:hAnsi="Times New Roman" w:eastAsia="宋体"/>
          <w:b/>
          <w:sz w:val="24"/>
        </w:rPr>
        <w:t>5.3 机制解释与临床启示</w:t>
      </w:r>
    </w:p>
    <w:p>
      <w:pPr>
        <w:spacing w:line="360" w:lineRule="auto"/>
        <w:ind w:firstLine="480"/>
      </w:pPr>
      <w:r>
        <w:rPr>
          <w:rFonts w:ascii="Times New Roman" w:hAnsi="Times New Roman" w:eastAsia="宋体"/>
          <w:b w:val="0"/>
          <w:sz w:val="24"/>
        </w:rPr>
        <w:t>上述共现模式的潜在机制可从三个层面理解，以下解释均属推测性，本研究的横断面设计无法区分“真实共病”与“检测伴随发现”。</w:t>
      </w:r>
    </w:p>
    <w:p>
      <w:pPr>
        <w:spacing w:line="360" w:lineRule="auto"/>
        <w:ind w:firstLine="480"/>
      </w:pPr>
      <w:r>
        <w:rPr>
          <w:rFonts w:ascii="Times New Roman" w:hAnsi="Times New Roman" w:eastAsia="宋体"/>
          <w:b w:val="0"/>
          <w:sz w:val="24"/>
        </w:rPr>
        <w:t>第一，共享危险因素假说：高血压、冠状动脉粥样硬化性心脏病、脑梗死及糖尿病的高度聚集，可能源于衰老、代谢紊乱及血管内皮损伤等共同病理生理通路，这为以心血管代谢风险为核心的综合管理策略提供了依据。第二，疾病因果链假说：慢性乙型病毒性肝炎与肝恶性肿瘤的强关联（提升度8.87）符合“慢性炎症—肝硬化—肝癌”的经典演进路径，但本研究为横断面数据，无法确证该时序关系；肺大疱与肺气肿作为同属慢性阻塞性肺疾病谱的病理改变，其共现亦存在解剖病理学上的合理性。第三，医疗检测偏倚假说：共现关系可能部分源于住院期间的系统性检查方案——肿瘤患者入院常规接受胸部影像学检查，可能因此“发现”既往未诊断的肺气肿或肺大疱，人为增强呼吸系统诊断间的表观关联。本研究中「肺大疱→肺气肿」规则极高的提升度（9.76）与该假说相容，但同样无法排除真实的病理生理关联。</w:t>
      </w:r>
    </w:p>
    <w:p>
      <w:pPr>
        <w:spacing w:line="360" w:lineRule="auto"/>
      </w:pPr>
      <w:r>
        <w:rPr>
          <w:rFonts w:ascii="Times New Roman" w:hAnsi="Times New Roman" w:eastAsia="宋体"/>
          <w:b/>
          <w:sz w:val="24"/>
        </w:rPr>
        <w:t>5.4 局限性</w:t>
      </w:r>
    </w:p>
    <w:p>
      <w:pPr>
        <w:spacing w:line="360" w:lineRule="auto"/>
        <w:ind w:firstLine="480"/>
      </w:pPr>
      <w:r>
        <w:rPr>
          <w:rFonts w:ascii="Times New Roman" w:hAnsi="Times New Roman" w:eastAsia="宋体"/>
          <w:b w:val="0"/>
          <w:sz w:val="24"/>
        </w:rPr>
        <w:t>本研究存在以下局限，解读结果时需谨慎。</w:t>
      </w:r>
    </w:p>
    <w:p>
      <w:pPr>
        <w:spacing w:line="360" w:lineRule="auto"/>
        <w:ind w:firstLine="480"/>
      </w:pPr>
      <w:r>
        <w:rPr>
          <w:rFonts w:ascii="Times New Roman" w:hAnsi="Times New Roman" w:eastAsia="宋体"/>
          <w:b/>
          <w:sz w:val="24"/>
        </w:rPr>
        <w:t>第一，单中心回顾性设计。</w:t>
      </w:r>
      <w:r>
        <w:rPr>
          <w:rFonts w:ascii="Times New Roman" w:hAnsi="Times New Roman" w:eastAsia="宋体"/>
          <w:b w:val="0"/>
          <w:sz w:val="24"/>
        </w:rPr>
        <w:t xml:space="preserve"> 数据来源于一家县级医院的肿瘤血液科，科室收治结构可能导致疾病谱向恶性肿瘤方向偏移。本研究反映的是该特定临床场景中的多病共存模式，外推至综合内科、社区或三级医院需谨慎，证据等级属观察性描述性证据。</w:t>
      </w:r>
    </w:p>
    <w:p>
      <w:pPr>
        <w:spacing w:line="360" w:lineRule="auto"/>
        <w:ind w:firstLine="480"/>
      </w:pPr>
      <w:r>
        <w:rPr>
          <w:rFonts w:ascii="Times New Roman" w:hAnsi="Times New Roman" w:eastAsia="宋体"/>
          <w:b/>
          <w:sz w:val="24"/>
        </w:rPr>
        <w:t>第二，选择偏倚。</w:t>
      </w:r>
      <w:r>
        <w:rPr>
          <w:rFonts w:ascii="Times New Roman" w:hAnsi="Times New Roman" w:eastAsia="宋体"/>
          <w:b w:val="0"/>
          <w:sz w:val="24"/>
        </w:rPr>
        <w:t xml:space="preserve"> 纳入分析的事务必须至少含有一个诊断编码，部分就诊因诊断缺失被排除。若诊断记录完整性随病情严重程度或住院时长系统性变化，可能引入选择偏倚。原始数据未提供排除就诊与纳入就诊的特征比较，无法量化该偏倚的方向与幅度。</w:t>
      </w:r>
    </w:p>
    <w:p>
      <w:pPr>
        <w:spacing w:line="360" w:lineRule="auto"/>
        <w:ind w:firstLine="480"/>
      </w:pPr>
      <w:r>
        <w:rPr>
          <w:rFonts w:ascii="Times New Roman" w:hAnsi="Times New Roman" w:eastAsia="宋体"/>
          <w:b/>
          <w:sz w:val="24"/>
        </w:rPr>
        <w:t>第三，信息偏倚与残余混杂。</w:t>
      </w:r>
      <w:r>
        <w:rPr>
          <w:rFonts w:ascii="Times New Roman" w:hAnsi="Times New Roman" w:eastAsia="宋体"/>
          <w:b w:val="0"/>
          <w:sz w:val="24"/>
        </w:rPr>
        <w:t xml:space="preserve"> 本研究仅使用诊断字段，未纳入检验、检查及用药数据对共现模式进行校正。数据未收集性别字段，而性别是影响多病共存模式的重要变量；年龄信息亦未获取，无法评估共病聚集程度随年龄梯度的变化。据原始数据清洗记录，检验字段覆盖率约为两成，缺失检验数据的患者是否在疾病严重程度或诊断完整性方面系统性不同于有检验数据的患者，尚不清楚。检验覆盖不足可能导致部分无症状或亚临床疾病未被记录，从而低估某些共现关系。此外，本研究未测量患者的功能状态、用药数量及社会经济地位等潜在混杂因素，观察到的诊断关联可能部分由上述未测量因素驱动。</w:t>
      </w:r>
    </w:p>
    <w:p>
      <w:pPr>
        <w:spacing w:line="360" w:lineRule="auto"/>
        <w:ind w:firstLine="480"/>
      </w:pPr>
      <w:r>
        <w:rPr>
          <w:rFonts w:ascii="Times New Roman" w:hAnsi="Times New Roman" w:eastAsia="宋体"/>
          <w:b/>
          <w:sz w:val="24"/>
        </w:rPr>
        <w:t>第四，分析单元与重复就诊问题。</w:t>
      </w:r>
      <w:r>
        <w:rPr>
          <w:rFonts w:ascii="Times New Roman" w:hAnsi="Times New Roman" w:eastAsia="宋体"/>
          <w:b w:val="0"/>
          <w:sz w:val="24"/>
        </w:rPr>
        <w:t xml:space="preserve"> 本研究以每次就诊为独立事务单元，未处理同一患者多次就诊带来的聚类效应。若部分患者存在多次就诊，其携带的稳定慢性病诊断（如高血压、冠心病）可能在事务集中被重复计数，从而高估这些疾病在频繁项集与共现网络中的权重。原始数据未提供每位患者的就诊次数分布，无法评估该效应的大小。</w:t>
      </w:r>
    </w:p>
    <w:p>
      <w:pPr>
        <w:spacing w:line="360" w:lineRule="auto"/>
        <w:ind w:firstLine="480"/>
      </w:pPr>
      <w:r>
        <w:rPr>
          <w:rFonts w:ascii="Times New Roman" w:hAnsi="Times New Roman" w:eastAsia="宋体"/>
          <w:b/>
          <w:sz w:val="24"/>
        </w:rPr>
        <w:t>第五，多重比较问题。</w:t>
      </w:r>
      <w:r>
        <w:rPr>
          <w:rFonts w:ascii="Times New Roman" w:hAnsi="Times New Roman" w:eastAsia="宋体"/>
          <w:b w:val="0"/>
          <w:sz w:val="24"/>
        </w:rPr>
        <w:t xml:space="preserve"> 频繁项集挖掘与关联规则分析本质上涉及大量隐含的比较。在22个频繁项集与50条共现边的筛选过程中，部分“显著”组合可能系随机波动所致。本研究采用支持度与置信度的联合阈值（最小支持度0.05、最小置信度0.5）进行筛选，但未进行多重检验校正，故应将这些发现视为探索性假设，而非确证性结论。</w:t>
      </w:r>
    </w:p>
    <w:p>
      <w:pPr>
        <w:spacing w:line="360" w:lineRule="auto"/>
        <w:ind w:firstLine="480"/>
      </w:pPr>
      <w:r>
        <w:rPr>
          <w:rFonts w:ascii="Times New Roman" w:hAnsi="Times New Roman" w:eastAsia="宋体"/>
          <w:b/>
          <w:sz w:val="24"/>
        </w:rPr>
        <w:t>第六，因果方向不可判定。</w:t>
      </w:r>
      <w:r>
        <w:rPr>
          <w:rFonts w:ascii="Times New Roman" w:hAnsi="Times New Roman" w:eastAsia="宋体"/>
          <w:b w:val="0"/>
          <w:sz w:val="24"/>
        </w:rPr>
        <w:t xml:space="preserve"> 关联规则的方向性（如“肺大疱→肺气肿”）仅反映统计上的前项—后项条件概率关系，不等同于时间先后或因果作用。横断面数据无法区分肺大疱是肺气肿的早期表现、独立并存病变抑或检测中的人为发现。任何关于疾病演进顺序的解读均需纵向数据验证。</w:t>
      </w:r>
    </w:p>
    <w:p>
      <w:pPr>
        <w:spacing w:line="360" w:lineRule="auto"/>
      </w:pPr>
      <w:r>
        <w:rPr>
          <w:rFonts w:ascii="Times New Roman" w:hAnsi="Times New Roman" w:eastAsia="宋体"/>
          <w:b/>
          <w:sz w:val="24"/>
        </w:rPr>
        <w:t>5.5 研究贡献与方法学展望</w:t>
      </w:r>
    </w:p>
    <w:p>
      <w:pPr>
        <w:spacing w:line="360" w:lineRule="auto"/>
        <w:ind w:firstLine="480"/>
      </w:pPr>
      <w:r>
        <w:rPr>
          <w:rFonts w:ascii="Times New Roman" w:hAnsi="Times New Roman" w:eastAsia="宋体"/>
          <w:b w:val="0"/>
          <w:sz w:val="24"/>
        </w:rPr>
        <w:t>尽管存在上述局限，本研究的方法学路径仍具参考价值。频繁项集挖掘能够无假设地从高维诊断数据中发现非预期的组合模式；关联规则以置信度与提升度量化组合强度，有助于区分“高频但独立”与“高频且关联”两种不同性质的共现；疾病共现网络则将成对关系整合为系统结构，为识别枢纽诊断提供了整体论视角。三种方法的递进使用，为多病共存研究提供了从“发现模式”到“量化关联”再到“定位枢纽”的完整分析链条。未来研究可考虑：（1）纳入纵向随访数据以检验关联规则的时序稳定性与预测价值；（2）引入患者层面的多水平模型以区分就诊内与患者间的变异来源，校正重复就诊带来的聚类效应；（3）在更大规模的多中心数据中验证本研究所识别的核心诊断组合是否具有跨场景的稳健性；（4）收集性别、年龄、功能状态及社会经济地位等变量，以评估残余混杂对共现关联的影响。</w:t>
      </w:r>
    </w:p>
    <w:p>
      <w:pPr>
        <w:spacing w:line="360" w:lineRule="auto"/>
        <w:ind w:firstLine="480"/>
      </w:pPr>
      <w:r>
        <w:rPr>
          <w:rFonts w:ascii="Times New Roman" w:hAnsi="Times New Roman" w:eastAsia="宋体"/>
          <w:b w:val="0"/>
          <w:sz w:val="24"/>
        </w:rPr>
        <w:t>综上，老年住院患者的多病共存并非诊断的随机叠加，而是呈现以心脑血管疾病、呼吸系统疾病及恶性肿瘤为核心的结构化聚集模式。冠状动脉粥样硬化性心脏病、高血压、肺部感染在频繁项集与共现网络中占据突出位置，提示针对上述疾病的综合管理可能对改善老年多病共存结局具有杠杆效应。然而，本研究作为单中心探索性分析，上述结论需在更具代表性的前瞻性队列中加以验证。</w:t>
      </w:r>
    </w:p>
    <w:p>
      <w:r>
        <w:rPr>
          <w:rFonts w:ascii="Times New Roman" w:hAnsi="Times New Roman" w:eastAsia="黑体"/>
          <w:b/>
          <w:sz w:val="28"/>
        </w:rPr>
        <w:t>结论</w:t>
      </w:r>
    </w:p>
    <w:p>
      <w:pPr>
        <w:spacing w:line="360" w:lineRule="auto"/>
      </w:pPr>
      <w:r>
        <w:rPr>
          <w:rFonts w:ascii="Times New Roman" w:hAnsi="Times New Roman" w:eastAsia="宋体"/>
          <w:b/>
          <w:sz w:val="24"/>
        </w:rPr>
        <w:t>6 结论</w:t>
      </w:r>
    </w:p>
    <w:p>
      <w:pPr>
        <w:spacing w:line="360" w:lineRule="auto"/>
        <w:ind w:firstLine="480"/>
      </w:pPr>
      <w:r>
        <w:rPr>
          <w:rFonts w:ascii="Times New Roman" w:hAnsi="Times New Roman" w:eastAsia="宋体"/>
          <w:b w:val="0"/>
          <w:sz w:val="24"/>
        </w:rPr>
        <w:t>本研究基于某县级医院肿瘤血液科13,320条老年住院就诊事务，运用频繁项集挖掘、关联规则与疾病共现网络三种数据驱动方法，对多病共存模式进行了探索性分析。结果显示：在最小支持度0.05阈值下共挖掘出22个频繁诊断组合，高频诊断集中于冠状动脉粥样硬化性心脏病（支持度27.61%）、高血压（19.49%）、肺部感染（16.79%）等心脑血管及呼吸系统疾病；首个多病组合「冠状动脉粥样硬化性心脏病+高血压」支持度为8.89%。关联规则分析获得4条满足阈值的规则，其中「肺大疱→肺气肿」关联强度最高（置信度79.8%，提升度9.76），「慢性乙型病毒性肝炎→肝恶性肿瘤」亦呈较强关联（提升度8.87）。疾病共现网络包含24种疾病节点与50条共现边，「冠状动脉粥样硬化性心脏病—高血压」为共现最频繁的诊断对（1,184次）。</w:t>
      </w:r>
    </w:p>
    <w:p>
      <w:pPr>
        <w:spacing w:line="360" w:lineRule="auto"/>
        <w:ind w:firstLine="480"/>
      </w:pPr>
      <w:r>
        <w:rPr>
          <w:rFonts w:ascii="Times New Roman" w:hAnsi="Times New Roman" w:eastAsia="宋体"/>
          <w:b w:val="0"/>
          <w:sz w:val="24"/>
        </w:rPr>
        <w:t>上述发现提示，老年住院患者多病共存呈现以心脑血管疾病、呼吸系统疾病及恶性肿瘤为核心的结构化聚集模式。其中，冠心病—高血压、肺大疱—肺气肿、慢性乙型病毒性肝炎—肝恶性肿瘤等诊断组合的强关联，与临床既有认知相符，提示这些组合在老年住院人群中具有较高的共现稳定性。需要强调的是，本研究为单中心回顾性探索，存在以下局限：其一，以每次就诊为独立事务单元，未处理同一患者多次就诊带来的聚类效应；其二，数据来源于单一县级医院肿瘤血液科，样本代表性有限；其三，原始数据未记录数据起止时间、患者年龄界定标准及性别字段，也未记录检验覆盖率等关键信息，限制了结果的临床解释深度。关联规则所揭示的诊断组合应视为统计关联而非因果关系，其临床应用价值有待前瞻性研究进一步验证。</w:t>
      </w:r>
    </w:p>
    <w:p>
      <w:r>
        <w:rPr>
          <w:rFonts w:ascii="Times New Roman" w:hAnsi="Times New Roman" w:eastAsia="黑体"/>
          <w:b/>
          <w:sz w:val="28"/>
        </w:rPr>
        <w:t>参考文献</w:t>
      </w:r>
    </w:p>
    <w:p>
      <w:pPr>
        <w:spacing w:line="360" w:lineRule="auto"/>
        <w:ind w:firstLine="480"/>
      </w:pPr>
      <w:r>
        <w:rPr>
          <w:rFonts w:ascii="Times New Roman" w:hAnsi="Times New Roman" w:eastAsia="宋体"/>
          <w:b w:val="0"/>
          <w:sz w:val="24"/>
        </w:rPr>
        <w:t>[1] Hernández B, Reilly RB, Kenny RA. Investigation of multimorbidity and prevalent disease combinations in older Irish adults using network analysis and association rules[J]. Scientific reports, 2019, 9(1): 14567. DOI: 10.1038/s41598-019-51135-7.</w:t>
      </w:r>
    </w:p>
    <w:p>
      <w:pPr>
        <w:spacing w:line="360" w:lineRule="auto"/>
        <w:ind w:firstLine="480"/>
      </w:pPr>
      <w:r>
        <w:rPr>
          <w:rFonts w:ascii="Times New Roman" w:hAnsi="Times New Roman" w:eastAsia="宋体"/>
          <w:b w:val="0"/>
          <w:sz w:val="24"/>
        </w:rPr>
        <w:t>[2] Zhang Z, Hu C, Cai Y, et al. The evolution of comorbidities in chronic diseases among Chinese middle-aged and elderly people: Evidence from the CHARLS (2015-2020)[J]. PloS one, 2025, 20(8): e0329372. DOI: 10.1371/journal.pone.0329372.</w:t>
      </w:r>
    </w:p>
    <w:p>
      <w:pPr>
        <w:spacing w:line="360" w:lineRule="auto"/>
        <w:ind w:firstLine="480"/>
      </w:pPr>
      <w:r>
        <w:rPr>
          <w:rFonts w:ascii="Times New Roman" w:hAnsi="Times New Roman" w:eastAsia="宋体"/>
          <w:b w:val="0"/>
          <w:sz w:val="24"/>
        </w:rPr>
        <w:t>[3] Linck JA, Michels C, Schwanstecher A, et al. Current Clinical Features of Diabetic Ketoacidosis in Adults: A German Multicenter Study 2022-2023[J]. Diabetes technology &amp; therapeutics, 2026, 28(3): 228-237. DOI: 10.1177/15209156251380863.</w:t>
      </w:r>
    </w:p>
    <w:p>
      <w:pPr>
        <w:spacing w:line="360" w:lineRule="auto"/>
        <w:ind w:firstLine="480"/>
      </w:pPr>
      <w:r>
        <w:rPr>
          <w:rFonts w:ascii="Times New Roman" w:hAnsi="Times New Roman" w:eastAsia="宋体"/>
          <w:b w:val="0"/>
          <w:sz w:val="24"/>
        </w:rPr>
        <w:t>[4] Sallevelt BTGM, Huibers CJA, Heij JMJO, et al. Frequency and Acceptance of Clinical Decision Support System-Generated STOPP/START Signals for Hospitalised Older Patients with Polypharmacy and Multimorbidity[J]. Drugs &amp; aging, 2022, 39(1): 59-73. DOI: 10.1007/s40266-021-00904-z.</w:t>
      </w:r>
    </w:p>
    <w:p>
      <w:pPr>
        <w:spacing w:line="360" w:lineRule="auto"/>
        <w:ind w:firstLine="480"/>
      </w:pPr>
      <w:r>
        <w:rPr>
          <w:rFonts w:ascii="Times New Roman" w:hAnsi="Times New Roman" w:eastAsia="宋体"/>
          <w:b w:val="0"/>
          <w:sz w:val="24"/>
        </w:rPr>
        <w:t>[5] Chen C, Zheng X, Liao S, et al. The diabetes mellitus multimorbidity network in hospitalized patients over 50 years of age in China: data mining of medical records[J]. BMC public health, 2024, 24(1): 1433. DOI: 10.1186/s12889-024-18887-y.</w:t>
      </w:r>
    </w:p>
    <w:p>
      <w:pPr>
        <w:spacing w:line="360" w:lineRule="auto"/>
        <w:ind w:firstLine="480"/>
      </w:pPr>
      <w:r>
        <w:rPr>
          <w:rFonts w:ascii="Times New Roman" w:hAnsi="Times New Roman" w:eastAsia="宋体"/>
          <w:b w:val="0"/>
          <w:sz w:val="24"/>
        </w:rPr>
        <w:t>[6] Grippo F, Frova L, Pappagallo M, et al. Beyond the underlying cause of death: an algorithm to study multi-morbidity at death[J]. Population health metrics, 2024, 22(1): 36. DOI: 10.1186/s12963-024-00356-8.</w:t>
      </w:r>
    </w:p>
    <w:p>
      <w:pPr>
        <w:spacing w:line="360" w:lineRule="auto"/>
        <w:ind w:firstLine="480"/>
      </w:pPr>
      <w:r>
        <w:rPr>
          <w:rFonts w:ascii="Times New Roman" w:hAnsi="Times New Roman" w:eastAsia="宋体"/>
          <w:b w:val="0"/>
          <w:sz w:val="24"/>
        </w:rPr>
        <w:t>[7] Wu D, Xu J, Zhang H, et al. Multimorbidity characteristics in older adults and their associated factors in complex networks: a cross-sectional study[J]. Frontiers in public health, 2025, 13: 1473572. DOI: 10.3389/fpubh.2025.1473572.</w:t>
      </w:r>
    </w:p>
    <w:p>
      <w:pPr>
        <w:spacing w:line="360" w:lineRule="auto"/>
        <w:ind w:firstLine="480"/>
      </w:pPr>
      <w:r>
        <w:rPr>
          <w:rFonts w:ascii="Times New Roman" w:hAnsi="Times New Roman" w:eastAsia="宋体"/>
          <w:b w:val="0"/>
          <w:sz w:val="24"/>
        </w:rPr>
        <w:t>[8] Zhou Y, Wang F, Luo JY, et al. [Related factors and characteristics of common disease multimorbidity among primary and secondary school students in Hunan Province][J]. Zhonghua liu xing bing xue za zhi = Zhonghua liuxingbingxue zazhi, 2026, 47(3): 438-448. DOI: 10.3760/cma.j.cn112338-20250513-00310.</w:t>
      </w:r>
    </w:p>
    <w:p>
      <w:pPr>
        <w:spacing w:line="360" w:lineRule="auto"/>
        <w:ind w:firstLine="480"/>
      </w:pPr>
      <w:r>
        <w:rPr>
          <w:rFonts w:ascii="Times New Roman" w:hAnsi="Times New Roman" w:eastAsia="宋体"/>
          <w:b w:val="0"/>
          <w:sz w:val="24"/>
        </w:rPr>
        <w:t>[9] Guo X, Liu P, Guo J, et al. An unsupervised cluster analysis of multimorbidity patterns in older adults in Shenzhen, China[J]. Frontiers in public health, 2025, 13: 1557721. DOI: 10.3389/fpubh.2025.1557721.</w:t>
      </w:r>
    </w:p>
    <w:p>
      <w:pPr>
        <w:spacing w:line="360" w:lineRule="auto"/>
        <w:ind w:firstLine="480"/>
      </w:pPr>
      <w:r>
        <w:rPr>
          <w:rFonts w:ascii="Times New Roman" w:hAnsi="Times New Roman" w:eastAsia="宋体"/>
          <w:b w:val="0"/>
          <w:sz w:val="24"/>
        </w:rPr>
        <w:t>[10] Li T, Xu X, Cheng Y, et al. [Multimorbidity patterns and associated hospitalization costs among different age groups of patients in a single medical center][J]. Zhejiang da xue xue bao. Yi xue ban = Journal of Zhejiang University. Medical sciences, 2025, 54(4): 423-433. DOI: 10.3724/zdxbyxb-2025-0054.</w:t>
      </w:r>
    </w:p>
    <w:p>
      <w:pPr>
        <w:spacing w:line="360" w:lineRule="auto"/>
        <w:ind w:firstLine="480"/>
      </w:pPr>
      <w:r>
        <w:rPr>
          <w:rFonts w:ascii="Times New Roman" w:hAnsi="Times New Roman" w:eastAsia="宋体"/>
          <w:b w:val="0"/>
          <w:sz w:val="24"/>
        </w:rPr>
        <w:t>[11] Liang S, Lai X, Chen H, et al. Association Rule Analysis of Cognitive Frailty Subtypes in Community-Dwelling Older Adults[J]. Clinical interventions in aging, 2026, Volume 21: 1-13. DOI: 10.2147/cia.s574258.</w:t>
      </w:r>
    </w:p>
    <w:p>
      <w:pPr>
        <w:spacing w:line="360" w:lineRule="auto"/>
        <w:ind w:firstLine="480"/>
      </w:pPr>
      <w:r>
        <w:rPr>
          <w:rFonts w:ascii="Times New Roman" w:hAnsi="Times New Roman" w:eastAsia="宋体"/>
          <w:b w:val="0"/>
          <w:sz w:val="24"/>
        </w:rPr>
        <w:t>[12] Cruz-Jentoft AJ, Daragjati J, Fratiglioni L, et al. Using the Multidimensional Prognostic Index (MPI) to improve cost-effectiveness of interventions in multimorbid frail older persons: results and final recommendations from the MPI_AGE European Project[J]. Aging clinical and experimental research, 2020, 32(5): 861-868. DOI: 10.1007/s40520-020-01516-0.</w:t>
      </w:r>
    </w:p>
    <w:p>
      <w:pPr>
        <w:spacing w:line="360" w:lineRule="auto"/>
        <w:ind w:firstLine="480"/>
      </w:pPr>
      <w:r>
        <w:rPr>
          <w:rFonts w:ascii="Times New Roman" w:hAnsi="Times New Roman" w:eastAsia="宋体"/>
          <w:b w:val="0"/>
          <w:sz w:val="24"/>
        </w:rPr>
        <w:t>[13] Young RA, Burge S, Kumar KA, et al. The Full Scope of Family Physicians' Work Is Not Reflected by Current Procedural Terminology Codes[J]. Journal of the American Board of Family Medicine : JABFM, 2017, 30(6): 724-732. DOI: 10.3122/jabfm.2017.06.170155.</w:t>
      </w:r>
    </w:p>
    <w:p>
      <w:pPr>
        <w:spacing w:line="360" w:lineRule="auto"/>
        <w:ind w:firstLine="480"/>
      </w:pPr>
      <w:r>
        <w:rPr>
          <w:rFonts w:ascii="Times New Roman" w:hAnsi="Times New Roman" w:eastAsia="宋体"/>
          <w:b w:val="0"/>
          <w:sz w:val="24"/>
        </w:rPr>
        <w:t>[14] Kuipers SJ, Cramm JM, Nieboer AP. The importance of patient-centered care and co-creation of care for satisfaction with care and physical and social well-being of patients with multi-morbidity in the primary care setting[J]. BMC health services research, 2019, 19(1): 13. DOI: 10.1186/s12913-018-3818-y.</w:t>
      </w:r>
    </w:p>
    <w:p>
      <w:pPr>
        <w:spacing w:line="360" w:lineRule="auto"/>
        <w:ind w:firstLine="480"/>
      </w:pPr>
      <w:r>
        <w:rPr>
          <w:rFonts w:ascii="Times New Roman" w:hAnsi="Times New Roman" w:eastAsia="宋体"/>
          <w:b w:val="0"/>
          <w:sz w:val="24"/>
        </w:rPr>
        <w:t>[15] Hallengren M, Åstrand P, Eksborg S, et al. Septic shock and the use of norepinephrine in an intermediate care unit: Mortality and adverse events[J]. PloS one, 2017, 12(8): e0183073. DOI: 10.1371/journal.pone.0183073.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