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肿瘤血液科 · 每周临床简报</w:t>
      </w:r>
    </w:p>
    <w:p>
      <w:pPr>
        <w:pStyle w:val="Subtitle"/>
        <w:jc w:val="center"/>
      </w:pPr>
      <w:r>
        <w:t>数据周期：2024/03/04—2024/03/10</w:t>
      </w:r>
    </w:p>
    <w:p>
      <w:r>
        <w:t>生成时间：2026-06-05 10:47:11</w:t>
      </w:r>
    </w:p>
    <w:p/>
    <w:p>
      <w:pPr>
        <w:pStyle w:val="Heading1"/>
      </w:pPr>
      <w:r>
        <w:t>模块1：本周运营概况</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指标</w:t>
            </w:r>
          </w:p>
        </w:tc>
        <w:tc>
          <w:tcPr>
            <w:tcW w:type="dxa" w:w="2160"/>
          </w:tcPr>
          <w:p>
            <w:r>
              <w:rPr>
                <w:b/>
                <w:sz w:val="18"/>
              </w:rPr>
              <w:t>本周数据</w:t>
            </w:r>
          </w:p>
        </w:tc>
        <w:tc>
          <w:tcPr>
            <w:tcW w:type="dxa" w:w="2160"/>
          </w:tcPr>
          <w:p>
            <w:r>
              <w:rPr>
                <w:b/>
                <w:sz w:val="18"/>
              </w:rPr>
              <w:t>上周环比</w:t>
            </w:r>
          </w:p>
        </w:tc>
        <w:tc>
          <w:tcPr>
            <w:tcW w:type="dxa" w:w="2160"/>
          </w:tcPr>
          <w:p>
            <w:r>
              <w:rPr>
                <w:b/>
                <w:sz w:val="18"/>
              </w:rPr>
              <w:t>去年同期同比</w:t>
            </w:r>
          </w:p>
        </w:tc>
      </w:tr>
      <w:tr>
        <w:tc>
          <w:tcPr>
            <w:tcW w:type="dxa" w:w="2160"/>
          </w:tcPr>
          <w:p>
            <w:r>
              <w:rPr>
                <w:sz w:val="18"/>
              </w:rPr>
              <w:t>入院人次</w:t>
            </w:r>
          </w:p>
        </w:tc>
        <w:tc>
          <w:tcPr>
            <w:tcW w:type="dxa" w:w="2160"/>
          </w:tcPr>
          <w:p>
            <w:r>
              <w:rPr>
                <w:sz w:val="18"/>
              </w:rPr>
              <w:t>54人</w:t>
            </w:r>
          </w:p>
        </w:tc>
        <w:tc>
          <w:tcPr>
            <w:tcW w:type="dxa" w:w="2160"/>
          </w:tcPr>
          <w:p>
            <w:r>
              <w:rPr>
                <w:sz w:val="18"/>
              </w:rPr>
              <w:t>↓-42.6%</w:t>
            </w:r>
          </w:p>
        </w:tc>
        <w:tc>
          <w:tcPr>
            <w:tcW w:type="dxa" w:w="2160"/>
          </w:tcPr>
          <w:p>
            <w:r>
              <w:rPr>
                <w:sz w:val="18"/>
              </w:rPr>
              <w:t>↓-21.7%</w:t>
            </w:r>
          </w:p>
        </w:tc>
      </w:tr>
      <w:tr>
        <w:tc>
          <w:tcPr>
            <w:tcW w:type="dxa" w:w="2160"/>
          </w:tcPr>
          <w:p>
            <w:r>
              <w:rPr>
                <w:sz w:val="18"/>
              </w:rPr>
              <w:t>出院人次</w:t>
            </w:r>
          </w:p>
        </w:tc>
        <w:tc>
          <w:tcPr>
            <w:tcW w:type="dxa" w:w="2160"/>
          </w:tcPr>
          <w:p>
            <w:r>
              <w:rPr>
                <w:sz w:val="18"/>
              </w:rPr>
              <w:t>67人</w:t>
            </w:r>
          </w:p>
        </w:tc>
        <w:tc>
          <w:tcPr>
            <w:tcW w:type="dxa" w:w="2160"/>
          </w:tcPr>
          <w:p>
            <w:r>
              <w:rPr>
                <w:sz w:val="18"/>
              </w:rPr>
              <w:t>↓-18.3%</w:t>
            </w:r>
          </w:p>
        </w:tc>
        <w:tc>
          <w:tcPr>
            <w:tcW w:type="dxa" w:w="2160"/>
          </w:tcPr>
          <w:p>
            <w:r>
              <w:rPr>
                <w:sz w:val="18"/>
              </w:rPr>
              <w:t>↓-13.0%</w:t>
            </w:r>
          </w:p>
        </w:tc>
      </w:tr>
      <w:tr>
        <w:tc>
          <w:tcPr>
            <w:tcW w:type="dxa" w:w="2160"/>
          </w:tcPr>
          <w:p>
            <w:r>
              <w:rPr>
                <w:sz w:val="18"/>
              </w:rPr>
              <w:t>在院患者日均</w:t>
            </w:r>
          </w:p>
        </w:tc>
        <w:tc>
          <w:tcPr>
            <w:tcW w:type="dxa" w:w="2160"/>
          </w:tcPr>
          <w:p>
            <w:r>
              <w:rPr>
                <w:sz w:val="18"/>
              </w:rPr>
              <w:t>61.6人</w:t>
            </w:r>
          </w:p>
        </w:tc>
        <w:tc>
          <w:tcPr>
            <w:tcW w:type="dxa" w:w="2160"/>
          </w:tcPr>
          <w:p>
            <w:r>
              <w:rPr>
                <w:sz w:val="18"/>
              </w:rPr>
              <w:t>-</w:t>
            </w:r>
          </w:p>
        </w:tc>
        <w:tc>
          <w:tcPr>
            <w:tcW w:type="dxa" w:w="2160"/>
          </w:tcPr>
          <w:p>
            <w:r>
              <w:rPr>
                <w:sz w:val="18"/>
              </w:rPr>
              <w:t>-</w:t>
            </w:r>
          </w:p>
        </w:tc>
      </w:tr>
      <w:tr>
        <w:tc>
          <w:tcPr>
            <w:tcW w:type="dxa" w:w="2160"/>
          </w:tcPr>
          <w:p>
            <w:r>
              <w:rPr>
                <w:sz w:val="18"/>
              </w:rPr>
              <w:t>床位使用率</w:t>
            </w:r>
          </w:p>
        </w:tc>
        <w:tc>
          <w:tcPr>
            <w:tcW w:type="dxa" w:w="2160"/>
          </w:tcPr>
          <w:p>
            <w:r>
              <w:rPr>
                <w:sz w:val="18"/>
              </w:rPr>
              <w:t>77.0%</w:t>
            </w:r>
          </w:p>
        </w:tc>
        <w:tc>
          <w:tcPr>
            <w:tcW w:type="dxa" w:w="2160"/>
          </w:tcPr>
          <w:p>
            <w:r>
              <w:rPr>
                <w:sz w:val="18"/>
              </w:rPr>
              <w:t>-</w:t>
            </w:r>
          </w:p>
        </w:tc>
        <w:tc>
          <w:tcPr>
            <w:tcW w:type="dxa" w:w="2160"/>
          </w:tcPr>
          <w:p>
            <w:r>
              <w:rPr>
                <w:sz w:val="18"/>
              </w:rPr>
              <w:t>-</w:t>
            </w:r>
          </w:p>
        </w:tc>
      </w:tr>
      <w:tr>
        <w:tc>
          <w:tcPr>
            <w:tcW w:type="dxa" w:w="2160"/>
          </w:tcPr>
          <w:p>
            <w:r>
              <w:rPr>
                <w:sz w:val="18"/>
              </w:rPr>
              <w:t>平均住院天数</w:t>
            </w:r>
          </w:p>
        </w:tc>
        <w:tc>
          <w:tcPr>
            <w:tcW w:type="dxa" w:w="2160"/>
          </w:tcPr>
          <w:p>
            <w:r>
              <w:rPr>
                <w:sz w:val="18"/>
              </w:rPr>
              <w:t>6.4天</w:t>
            </w:r>
          </w:p>
        </w:tc>
        <w:tc>
          <w:tcPr>
            <w:tcW w:type="dxa" w:w="2160"/>
          </w:tcPr>
          <w:p>
            <w:r>
              <w:rPr>
                <w:sz w:val="18"/>
              </w:rPr>
              <w:t>-</w:t>
            </w:r>
          </w:p>
        </w:tc>
        <w:tc>
          <w:tcPr>
            <w:tcW w:type="dxa" w:w="2160"/>
          </w:tcPr>
          <w:p>
            <w:r>
              <w:rPr>
                <w:sz w:val="18"/>
              </w:rPr>
              <w:t>-</w:t>
            </w:r>
          </w:p>
        </w:tc>
      </w:tr>
    </w:tbl>
    <w:p/>
    <w:p>
      <w:r/>
      <w:r>
        <w:rPr>
          <w:b/>
        </w:rPr>
        <w:t>模块1：本周运营概况</w:t>
      </w:r>
      <w:r>
        <w:t xml:space="preserve">  </w:t>
        <w:br/>
        <w:t xml:space="preserve">本周（2024/03/04—2024/03/10）肿瘤血液科入院54人次，环比下降42.6%、同比下降21.7%；出院67人次，环比下降18.3%、同比下降13.0%。平均住院日6.4天，床位使用率77.0%，运营负荷明显回落。  </w:t>
        <w:br/>
        <w:br/>
      </w:r>
      <w:r>
        <w:rPr>
          <w:b/>
        </w:rPr>
        <w:t>每日入院分布</w:t>
      </w:r>
      <w:r>
        <w:t xml:space="preserve">呈现“前高后低”特征：周一、周二入院量合计占全周63.0%，周四与周日仅各1人，周内波动剧烈。  </w:t>
        <w:br/>
        <w:br/>
      </w:r>
      <w:r>
        <w:rPr>
          <w:b/>
        </w:rPr>
        <w:t>管理建议</w:t>
      </w:r>
      <w:r>
        <w:t xml:space="preserve">：  </w:t>
        <w:br/>
        <w:t xml:space="preserve">1. 排查入院量骤降原因（如门诊转诊流程、医保政策影响），稳定收治源头。  </w:t>
        <w:br/>
        <w:t xml:space="preserve">2. 优化入院预约排程，将后半周空置床位向前半周分流，提升资源利用均衡性。  </w:t>
        <w:br/>
        <w:t>3. 关注平均住院日变化趋势，结合出院环比降幅，预防床位周转延迟。</w:t>
      </w:r>
    </w:p>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星期</w:t>
            </w:r>
          </w:p>
        </w:tc>
        <w:tc>
          <w:tcPr>
            <w:tcW w:type="dxa" w:w="960"/>
          </w:tcPr>
          <w:p>
            <w:r>
              <w:rPr>
                <w:b/>
                <w:sz w:val="18"/>
              </w:rPr>
              <w:t>周一</w:t>
            </w:r>
          </w:p>
        </w:tc>
        <w:tc>
          <w:tcPr>
            <w:tcW w:type="dxa" w:w="960"/>
          </w:tcPr>
          <w:p>
            <w:r>
              <w:rPr>
                <w:b/>
                <w:sz w:val="18"/>
              </w:rPr>
              <w:t>周二</w:t>
            </w:r>
          </w:p>
        </w:tc>
        <w:tc>
          <w:tcPr>
            <w:tcW w:type="dxa" w:w="960"/>
          </w:tcPr>
          <w:p>
            <w:r>
              <w:rPr>
                <w:b/>
                <w:sz w:val="18"/>
              </w:rPr>
              <w:t>周三</w:t>
            </w:r>
          </w:p>
        </w:tc>
        <w:tc>
          <w:tcPr>
            <w:tcW w:type="dxa" w:w="960"/>
          </w:tcPr>
          <w:p>
            <w:r>
              <w:rPr>
                <w:b/>
                <w:sz w:val="18"/>
              </w:rPr>
              <w:t>周四</w:t>
            </w:r>
          </w:p>
        </w:tc>
        <w:tc>
          <w:tcPr>
            <w:tcW w:type="dxa" w:w="960"/>
          </w:tcPr>
          <w:p>
            <w:r>
              <w:rPr>
                <w:b/>
                <w:sz w:val="18"/>
              </w:rPr>
              <w:t>周五</w:t>
            </w:r>
          </w:p>
        </w:tc>
        <w:tc>
          <w:tcPr>
            <w:tcW w:type="dxa" w:w="960"/>
          </w:tcPr>
          <w:p>
            <w:r>
              <w:rPr>
                <w:b/>
                <w:sz w:val="18"/>
              </w:rPr>
              <w:t>周六</w:t>
            </w:r>
          </w:p>
        </w:tc>
        <w:tc>
          <w:tcPr>
            <w:tcW w:type="dxa" w:w="960"/>
          </w:tcPr>
          <w:p>
            <w:r>
              <w:rPr>
                <w:b/>
                <w:sz w:val="18"/>
              </w:rPr>
              <w:t>周日</w:t>
            </w:r>
          </w:p>
        </w:tc>
        <w:tc>
          <w:tcPr>
            <w:tcW w:type="dxa" w:w="960"/>
          </w:tcPr>
          <w:p>
            <w:r>
              <w:rPr>
                <w:b/>
                <w:sz w:val="18"/>
              </w:rPr>
              <w:t>合计</w:t>
            </w:r>
          </w:p>
        </w:tc>
      </w:tr>
      <w:tr>
        <w:tc>
          <w:tcPr>
            <w:tcW w:type="dxa" w:w="960"/>
          </w:tcPr>
          <w:p>
            <w:r>
              <w:rPr>
                <w:sz w:val="18"/>
              </w:rPr>
              <w:t>入院人数</w:t>
            </w:r>
          </w:p>
        </w:tc>
        <w:tc>
          <w:tcPr>
            <w:tcW w:type="dxa" w:w="960"/>
          </w:tcPr>
          <w:p>
            <w:r>
              <w:rPr>
                <w:sz w:val="18"/>
              </w:rPr>
              <w:t>18</w:t>
            </w:r>
          </w:p>
        </w:tc>
        <w:tc>
          <w:tcPr>
            <w:tcW w:type="dxa" w:w="960"/>
          </w:tcPr>
          <w:p>
            <w:r>
              <w:rPr>
                <w:sz w:val="18"/>
              </w:rPr>
              <w:t>16</w:t>
            </w:r>
          </w:p>
        </w:tc>
        <w:tc>
          <w:tcPr>
            <w:tcW w:type="dxa" w:w="960"/>
          </w:tcPr>
          <w:p>
            <w:r>
              <w:rPr>
                <w:sz w:val="18"/>
              </w:rPr>
              <w:t>7</w:t>
            </w:r>
          </w:p>
        </w:tc>
        <w:tc>
          <w:tcPr>
            <w:tcW w:type="dxa" w:w="960"/>
          </w:tcPr>
          <w:p>
            <w:r>
              <w:rPr>
                <w:sz w:val="18"/>
              </w:rPr>
              <w:t>1</w:t>
            </w:r>
          </w:p>
        </w:tc>
        <w:tc>
          <w:tcPr>
            <w:tcW w:type="dxa" w:w="960"/>
          </w:tcPr>
          <w:p>
            <w:r>
              <w:rPr>
                <w:sz w:val="18"/>
              </w:rPr>
              <w:t>5</w:t>
            </w:r>
          </w:p>
        </w:tc>
        <w:tc>
          <w:tcPr>
            <w:tcW w:type="dxa" w:w="960"/>
          </w:tcPr>
          <w:p>
            <w:r>
              <w:rPr>
                <w:sz w:val="18"/>
              </w:rPr>
              <w:t>6</w:t>
            </w:r>
          </w:p>
        </w:tc>
        <w:tc>
          <w:tcPr>
            <w:tcW w:type="dxa" w:w="960"/>
          </w:tcPr>
          <w:p>
            <w:r>
              <w:rPr>
                <w:sz w:val="18"/>
              </w:rPr>
              <w:t>1</w:t>
            </w:r>
          </w:p>
        </w:tc>
        <w:tc>
          <w:tcPr>
            <w:tcW w:type="dxa" w:w="960"/>
          </w:tcPr>
          <w:p>
            <w:r>
              <w:rPr>
                <w:sz w:val="18"/>
              </w:rPr>
              <w:t>54</w:t>
            </w:r>
          </w:p>
        </w:tc>
      </w:tr>
    </w:tbl>
    <w:p/>
    <w:p>
      <w:pPr>
        <w:pStyle w:val="Heading1"/>
      </w:pPr>
      <w:r>
        <w:t>模块2：病种分析</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排名</w:t>
            </w:r>
          </w:p>
        </w:tc>
        <w:tc>
          <w:tcPr>
            <w:tcW w:type="dxa" w:w="1440"/>
          </w:tcPr>
          <w:p>
            <w:r>
              <w:rPr>
                <w:b/>
                <w:sz w:val="18"/>
              </w:rPr>
              <w:t>病种</w:t>
            </w:r>
          </w:p>
        </w:tc>
        <w:tc>
          <w:tcPr>
            <w:tcW w:type="dxa" w:w="1440"/>
          </w:tcPr>
          <w:p>
            <w:r>
              <w:rPr>
                <w:b/>
                <w:sz w:val="18"/>
              </w:rPr>
              <w:t>本周入院</w:t>
            </w:r>
          </w:p>
        </w:tc>
        <w:tc>
          <w:tcPr>
            <w:tcW w:type="dxa" w:w="1440"/>
          </w:tcPr>
          <w:p>
            <w:r>
              <w:rPr>
                <w:b/>
                <w:sz w:val="18"/>
              </w:rPr>
              <w:t>占比</w:t>
            </w:r>
          </w:p>
        </w:tc>
        <w:tc>
          <w:tcPr>
            <w:tcW w:type="dxa" w:w="1440"/>
          </w:tcPr>
          <w:p>
            <w:r>
              <w:rPr>
                <w:b/>
                <w:sz w:val="18"/>
              </w:rPr>
              <w:t>环比</w:t>
            </w:r>
          </w:p>
        </w:tc>
        <w:tc>
          <w:tcPr>
            <w:tcW w:type="dxa" w:w="1440"/>
          </w:tcPr>
          <w:p>
            <w:r>
              <w:rPr>
                <w:b/>
                <w:sz w:val="18"/>
              </w:rPr>
              <w:t>累计年度占比</w:t>
            </w:r>
          </w:p>
        </w:tc>
      </w:tr>
      <w:tr>
        <w:tc>
          <w:tcPr>
            <w:tcW w:type="dxa" w:w="1440"/>
          </w:tcPr>
          <w:p>
            <w:r>
              <w:rPr>
                <w:sz w:val="18"/>
              </w:rPr>
              <w:t>1</w:t>
            </w:r>
          </w:p>
        </w:tc>
        <w:tc>
          <w:tcPr>
            <w:tcW w:type="dxa" w:w="1440"/>
          </w:tcPr>
          <w:p>
            <w:r>
              <w:rPr>
                <w:sz w:val="18"/>
              </w:rPr>
              <w:t>肺癌</w:t>
            </w:r>
          </w:p>
        </w:tc>
        <w:tc>
          <w:tcPr>
            <w:tcW w:type="dxa" w:w="1440"/>
          </w:tcPr>
          <w:p>
            <w:r>
              <w:rPr>
                <w:sz w:val="18"/>
              </w:rPr>
              <w:t>9人</w:t>
            </w:r>
          </w:p>
        </w:tc>
        <w:tc>
          <w:tcPr>
            <w:tcW w:type="dxa" w:w="1440"/>
          </w:tcPr>
          <w:p>
            <w:r>
              <w:rPr>
                <w:sz w:val="18"/>
              </w:rPr>
              <w:t>16.7%</w:t>
            </w:r>
          </w:p>
        </w:tc>
        <w:tc>
          <w:tcPr>
            <w:tcW w:type="dxa" w:w="1440"/>
          </w:tcPr>
          <w:p>
            <w:r>
              <w:rPr>
                <w:sz w:val="18"/>
              </w:rPr>
              <w:t>-</w:t>
            </w:r>
          </w:p>
        </w:tc>
        <w:tc>
          <w:tcPr>
            <w:tcW w:type="dxa" w:w="1440"/>
          </w:tcPr>
          <w:p>
            <w:r>
              <w:rPr>
                <w:sz w:val="18"/>
              </w:rPr>
              <w:t>-</w:t>
            </w:r>
          </w:p>
        </w:tc>
      </w:tr>
      <w:tr>
        <w:tc>
          <w:tcPr>
            <w:tcW w:type="dxa" w:w="1440"/>
          </w:tcPr>
          <w:p>
            <w:r>
              <w:rPr>
                <w:sz w:val="18"/>
              </w:rPr>
              <w:t>2</w:t>
            </w:r>
          </w:p>
        </w:tc>
        <w:tc>
          <w:tcPr>
            <w:tcW w:type="dxa" w:w="1440"/>
          </w:tcPr>
          <w:p>
            <w:r>
              <w:rPr>
                <w:sz w:val="18"/>
              </w:rPr>
              <w:t>白血病</w:t>
            </w:r>
          </w:p>
        </w:tc>
        <w:tc>
          <w:tcPr>
            <w:tcW w:type="dxa" w:w="1440"/>
          </w:tcPr>
          <w:p>
            <w:r>
              <w:rPr>
                <w:sz w:val="18"/>
              </w:rPr>
              <w:t>5人</w:t>
            </w:r>
          </w:p>
        </w:tc>
        <w:tc>
          <w:tcPr>
            <w:tcW w:type="dxa" w:w="1440"/>
          </w:tcPr>
          <w:p>
            <w:r>
              <w:rPr>
                <w:sz w:val="18"/>
              </w:rPr>
              <w:t>9.3%</w:t>
            </w:r>
          </w:p>
        </w:tc>
        <w:tc>
          <w:tcPr>
            <w:tcW w:type="dxa" w:w="1440"/>
          </w:tcPr>
          <w:p>
            <w:r>
              <w:rPr>
                <w:sz w:val="18"/>
              </w:rPr>
              <w:t>-</w:t>
            </w:r>
          </w:p>
        </w:tc>
        <w:tc>
          <w:tcPr>
            <w:tcW w:type="dxa" w:w="1440"/>
          </w:tcPr>
          <w:p>
            <w:r>
              <w:rPr>
                <w:sz w:val="18"/>
              </w:rPr>
              <w:t>-</w:t>
            </w:r>
          </w:p>
        </w:tc>
      </w:tr>
      <w:tr>
        <w:tc>
          <w:tcPr>
            <w:tcW w:type="dxa" w:w="1440"/>
          </w:tcPr>
          <w:p>
            <w:r>
              <w:rPr>
                <w:sz w:val="18"/>
              </w:rPr>
              <w:t>3</w:t>
            </w:r>
          </w:p>
        </w:tc>
        <w:tc>
          <w:tcPr>
            <w:tcW w:type="dxa" w:w="1440"/>
          </w:tcPr>
          <w:p>
            <w:r>
              <w:rPr>
                <w:sz w:val="18"/>
              </w:rPr>
              <w:t>食管癌</w:t>
            </w:r>
          </w:p>
        </w:tc>
        <w:tc>
          <w:tcPr>
            <w:tcW w:type="dxa" w:w="1440"/>
          </w:tcPr>
          <w:p>
            <w:r>
              <w:rPr>
                <w:sz w:val="18"/>
              </w:rPr>
              <w:t>4人</w:t>
            </w:r>
          </w:p>
        </w:tc>
        <w:tc>
          <w:tcPr>
            <w:tcW w:type="dxa" w:w="1440"/>
          </w:tcPr>
          <w:p>
            <w:r>
              <w:rPr>
                <w:sz w:val="18"/>
              </w:rPr>
              <w:t>7.4%</w:t>
            </w:r>
          </w:p>
        </w:tc>
        <w:tc>
          <w:tcPr>
            <w:tcW w:type="dxa" w:w="1440"/>
          </w:tcPr>
          <w:p>
            <w:r>
              <w:rPr>
                <w:sz w:val="18"/>
              </w:rPr>
              <w:t>-</w:t>
            </w:r>
          </w:p>
        </w:tc>
        <w:tc>
          <w:tcPr>
            <w:tcW w:type="dxa" w:w="1440"/>
          </w:tcPr>
          <w:p>
            <w:r>
              <w:rPr>
                <w:sz w:val="18"/>
              </w:rPr>
              <w:t>-</w:t>
            </w:r>
          </w:p>
        </w:tc>
      </w:tr>
      <w:tr>
        <w:tc>
          <w:tcPr>
            <w:tcW w:type="dxa" w:w="1440"/>
          </w:tcPr>
          <w:p>
            <w:r>
              <w:rPr>
                <w:sz w:val="18"/>
              </w:rPr>
              <w:t>4</w:t>
            </w:r>
          </w:p>
        </w:tc>
        <w:tc>
          <w:tcPr>
            <w:tcW w:type="dxa" w:w="1440"/>
          </w:tcPr>
          <w:p>
            <w:r>
              <w:rPr>
                <w:sz w:val="18"/>
              </w:rPr>
              <w:t>结直肠癌</w:t>
            </w:r>
          </w:p>
        </w:tc>
        <w:tc>
          <w:tcPr>
            <w:tcW w:type="dxa" w:w="1440"/>
          </w:tcPr>
          <w:p>
            <w:r>
              <w:rPr>
                <w:sz w:val="18"/>
              </w:rPr>
              <w:t>2人</w:t>
            </w:r>
          </w:p>
        </w:tc>
        <w:tc>
          <w:tcPr>
            <w:tcW w:type="dxa" w:w="1440"/>
          </w:tcPr>
          <w:p>
            <w:r>
              <w:rPr>
                <w:sz w:val="18"/>
              </w:rPr>
              <w:t>3.7%</w:t>
            </w:r>
          </w:p>
        </w:tc>
        <w:tc>
          <w:tcPr>
            <w:tcW w:type="dxa" w:w="1440"/>
          </w:tcPr>
          <w:p>
            <w:r>
              <w:rPr>
                <w:sz w:val="18"/>
              </w:rPr>
              <w:t>-</w:t>
            </w:r>
          </w:p>
        </w:tc>
        <w:tc>
          <w:tcPr>
            <w:tcW w:type="dxa" w:w="1440"/>
          </w:tcPr>
          <w:p>
            <w:r>
              <w:rPr>
                <w:sz w:val="18"/>
              </w:rPr>
              <w:t>-</w:t>
            </w:r>
          </w:p>
        </w:tc>
      </w:tr>
      <w:tr>
        <w:tc>
          <w:tcPr>
            <w:tcW w:type="dxa" w:w="1440"/>
          </w:tcPr>
          <w:p>
            <w:r>
              <w:rPr>
                <w:sz w:val="18"/>
              </w:rPr>
              <w:t>5</w:t>
            </w:r>
          </w:p>
        </w:tc>
        <w:tc>
          <w:tcPr>
            <w:tcW w:type="dxa" w:w="1440"/>
          </w:tcPr>
          <w:p>
            <w:r>
              <w:rPr>
                <w:sz w:val="18"/>
              </w:rPr>
              <w:t>肝癌</w:t>
            </w:r>
          </w:p>
        </w:tc>
        <w:tc>
          <w:tcPr>
            <w:tcW w:type="dxa" w:w="1440"/>
          </w:tcPr>
          <w:p>
            <w:r>
              <w:rPr>
                <w:sz w:val="18"/>
              </w:rPr>
              <w:t>2人</w:t>
            </w:r>
          </w:p>
        </w:tc>
        <w:tc>
          <w:tcPr>
            <w:tcW w:type="dxa" w:w="1440"/>
          </w:tcPr>
          <w:p>
            <w:r>
              <w:rPr>
                <w:sz w:val="18"/>
              </w:rPr>
              <w:t>3.7%</w:t>
            </w:r>
          </w:p>
        </w:tc>
        <w:tc>
          <w:tcPr>
            <w:tcW w:type="dxa" w:w="1440"/>
          </w:tcPr>
          <w:p>
            <w:r>
              <w:rPr>
                <w:sz w:val="18"/>
              </w:rPr>
              <w:t>-</w:t>
            </w:r>
          </w:p>
        </w:tc>
        <w:tc>
          <w:tcPr>
            <w:tcW w:type="dxa" w:w="1440"/>
          </w:tcPr>
          <w:p>
            <w:r>
              <w:rPr>
                <w:sz w:val="18"/>
              </w:rPr>
              <w:t>-</w:t>
            </w:r>
          </w:p>
        </w:tc>
      </w:tr>
    </w:tbl>
    <w:p/>
    <w:p>
      <w:r/>
      <w:r>
        <w:rPr>
          <w:b/>
        </w:rPr>
        <w:t>模块2：病种分析</w:t>
      </w:r>
      <w:r>
        <w:br/>
        <w:br/>
        <w:t>本周肿瘤血液科Top5病种累计占比41.0%，分别为肺癌（16.7%）、白血病（9.3%）、食管癌（7.4%）、结直肠癌（3.7%）及肝癌（3.7%）。肺癌占据绝对多数，提示呼吸系统肿瘤仍是本专科主要诊疗病种，需持续关注诊疗路径与资源配置。白血病位列第二，与科室血液方向定位相符，但需注意其占比相对稳定。食管癌、结直肠癌及肝癌构成消化道肿瘤集群，合计占比14.8%，显示多系统肿瘤并存格局。</w:t>
        <w:br/>
        <w:br/>
        <w:t>新发病种方面，本周监测到前列腺癌1例（占比1.9%），虽样本量小，但需警惕其作为老龄高发肿瘤的潜在增长趋势。结合当前肿瘤谱集中于肺、血液及消化道，建议临床与科研层面加强对泌尿系统肿瘤的早期筛查意识和多学科协作，并动态追踪后续周数的发病波动，以评估是否为偶发或持续性趋势。</w:t>
      </w:r>
    </w:p>
    <w:p/>
    <w:p>
      <w:pPr>
        <w:pStyle w:val="Heading1"/>
      </w:pPr>
      <w:r>
        <w:t>模块3：检查检验汇总</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检查类型</w:t>
            </w:r>
          </w:p>
        </w:tc>
        <w:tc>
          <w:tcPr>
            <w:tcW w:type="dxa" w:w="1728"/>
          </w:tcPr>
          <w:p>
            <w:r>
              <w:rPr>
                <w:b/>
                <w:sz w:val="18"/>
              </w:rPr>
              <w:t>数量</w:t>
            </w:r>
          </w:p>
        </w:tc>
        <w:tc>
          <w:tcPr>
            <w:tcW w:type="dxa" w:w="1728"/>
          </w:tcPr>
          <w:p>
            <w:r>
              <w:rPr>
                <w:b/>
                <w:sz w:val="18"/>
              </w:rPr>
              <w:t>占比</w:t>
            </w:r>
          </w:p>
        </w:tc>
        <w:tc>
          <w:tcPr>
            <w:tcW w:type="dxa" w:w="1728"/>
          </w:tcPr>
          <w:p>
            <w:r>
              <w:rPr>
                <w:b/>
                <w:sz w:val="18"/>
              </w:rPr>
              <w:t>阳性/异常</w:t>
            </w:r>
          </w:p>
        </w:tc>
        <w:tc>
          <w:tcPr>
            <w:tcW w:type="dxa" w:w="1728"/>
          </w:tcPr>
          <w:p>
            <w:r>
              <w:rPr>
                <w:b/>
                <w:sz w:val="18"/>
              </w:rPr>
              <w:t>阳性率</w:t>
            </w:r>
          </w:p>
        </w:tc>
      </w:tr>
      <w:tr>
        <w:tc>
          <w:tcPr>
            <w:tcW w:type="dxa" w:w="1728"/>
          </w:tcPr>
          <w:p>
            <w:r>
              <w:rPr>
                <w:sz w:val="18"/>
              </w:rPr>
              <w:t>CT平扫</w:t>
            </w:r>
          </w:p>
        </w:tc>
        <w:tc>
          <w:tcPr>
            <w:tcW w:type="dxa" w:w="1728"/>
          </w:tcPr>
          <w:p>
            <w:r>
              <w:rPr>
                <w:sz w:val="18"/>
              </w:rPr>
              <w:t>28例</w:t>
            </w:r>
          </w:p>
        </w:tc>
        <w:tc>
          <w:tcPr>
            <w:tcW w:type="dxa" w:w="1728"/>
          </w:tcPr>
          <w:p>
            <w:r>
              <w:rPr>
                <w:sz w:val="18"/>
              </w:rPr>
              <w:t>-</w:t>
            </w:r>
          </w:p>
        </w:tc>
        <w:tc>
          <w:tcPr>
            <w:tcW w:type="dxa" w:w="1728"/>
          </w:tcPr>
          <w:p>
            <w:r>
              <w:rPr>
                <w:sz w:val="18"/>
              </w:rPr>
              <w:t>66例</w:t>
            </w:r>
          </w:p>
        </w:tc>
        <w:tc>
          <w:tcPr>
            <w:tcW w:type="dxa" w:w="1728"/>
          </w:tcPr>
          <w:p>
            <w:r>
              <w:rPr>
                <w:sz w:val="18"/>
              </w:rPr>
              <w:t>30.8%</w:t>
            </w:r>
          </w:p>
        </w:tc>
      </w:tr>
      <w:tr>
        <w:tc>
          <w:tcPr>
            <w:tcW w:type="dxa" w:w="1728"/>
          </w:tcPr>
          <w:p>
            <w:r>
              <w:rPr>
                <w:sz w:val="18"/>
              </w:rPr>
              <w:t>常规心电图检查(十二通道)</w:t>
            </w:r>
          </w:p>
        </w:tc>
        <w:tc>
          <w:tcPr>
            <w:tcW w:type="dxa" w:w="1728"/>
          </w:tcPr>
          <w:p>
            <w:r>
              <w:rPr>
                <w:sz w:val="18"/>
              </w:rPr>
              <w:t>19例</w:t>
            </w:r>
          </w:p>
        </w:tc>
        <w:tc>
          <w:tcPr>
            <w:tcW w:type="dxa" w:w="1728"/>
          </w:tcPr>
          <w:p>
            <w:r>
              <w:rPr>
                <w:sz w:val="18"/>
              </w:rPr>
              <w:t>-</w:t>
            </w:r>
          </w:p>
        </w:tc>
        <w:tc>
          <w:tcPr>
            <w:tcW w:type="dxa" w:w="1728"/>
          </w:tcPr>
          <w:p>
            <w:r>
              <w:rPr>
                <w:sz w:val="18"/>
              </w:rPr>
              <w:t>0例</w:t>
            </w:r>
          </w:p>
        </w:tc>
        <w:tc>
          <w:tcPr>
            <w:tcW w:type="dxa" w:w="1728"/>
          </w:tcPr>
          <w:p>
            <w:r>
              <w:rPr>
                <w:sz w:val="18"/>
              </w:rPr>
              <w:t>0.0%</w:t>
            </w:r>
          </w:p>
        </w:tc>
      </w:tr>
      <w:tr>
        <w:tc>
          <w:tcPr>
            <w:tcW w:type="dxa" w:w="1728"/>
          </w:tcPr>
          <w:p>
            <w:r>
              <w:rPr>
                <w:sz w:val="18"/>
              </w:rPr>
              <w:t>腹部彩色多普勒超声常规检查（参考）</w:t>
            </w:r>
          </w:p>
        </w:tc>
        <w:tc>
          <w:tcPr>
            <w:tcW w:type="dxa" w:w="1728"/>
          </w:tcPr>
          <w:p>
            <w:r>
              <w:rPr>
                <w:sz w:val="18"/>
              </w:rPr>
              <w:t>10例</w:t>
            </w:r>
          </w:p>
        </w:tc>
        <w:tc>
          <w:tcPr>
            <w:tcW w:type="dxa" w:w="1728"/>
          </w:tcPr>
          <w:p>
            <w:r>
              <w:rPr>
                <w:sz w:val="18"/>
              </w:rPr>
              <w:t>-</w:t>
            </w:r>
          </w:p>
        </w:tc>
        <w:tc>
          <w:tcPr>
            <w:tcW w:type="dxa" w:w="1728"/>
          </w:tcPr>
          <w:p>
            <w:r>
              <w:rPr>
                <w:sz w:val="18"/>
              </w:rPr>
              <w:t>0例</w:t>
            </w:r>
          </w:p>
        </w:tc>
        <w:tc>
          <w:tcPr>
            <w:tcW w:type="dxa" w:w="1728"/>
          </w:tcPr>
          <w:p>
            <w:r>
              <w:rPr>
                <w:sz w:val="18"/>
              </w:rPr>
              <w:t>0.0%</w:t>
            </w:r>
          </w:p>
        </w:tc>
      </w:tr>
      <w:tr>
        <w:tc>
          <w:tcPr>
            <w:tcW w:type="dxa" w:w="1728"/>
          </w:tcPr>
          <w:p>
            <w:r>
              <w:rPr>
                <w:sz w:val="18"/>
              </w:rPr>
              <w:t>磁共振平扫</w:t>
            </w:r>
          </w:p>
        </w:tc>
        <w:tc>
          <w:tcPr>
            <w:tcW w:type="dxa" w:w="1728"/>
          </w:tcPr>
          <w:p>
            <w:r>
              <w:rPr>
                <w:sz w:val="18"/>
              </w:rPr>
              <w:t>3例</w:t>
            </w:r>
          </w:p>
        </w:tc>
        <w:tc>
          <w:tcPr>
            <w:tcW w:type="dxa" w:w="1728"/>
          </w:tcPr>
          <w:p>
            <w:r>
              <w:rPr>
                <w:sz w:val="18"/>
              </w:rPr>
              <w:t>-</w:t>
            </w:r>
          </w:p>
        </w:tc>
        <w:tc>
          <w:tcPr>
            <w:tcW w:type="dxa" w:w="1728"/>
          </w:tcPr>
          <w:p>
            <w:r>
              <w:rPr>
                <w:sz w:val="18"/>
              </w:rPr>
              <w:t>2例</w:t>
            </w:r>
          </w:p>
        </w:tc>
        <w:tc>
          <w:tcPr>
            <w:tcW w:type="dxa" w:w="1728"/>
          </w:tcPr>
          <w:p>
            <w:r>
              <w:rPr>
                <w:sz w:val="18"/>
              </w:rPr>
              <w:t>8.3%</w:t>
            </w:r>
          </w:p>
        </w:tc>
      </w:tr>
      <w:tr>
        <w:tc>
          <w:tcPr>
            <w:tcW w:type="dxa" w:w="1728"/>
          </w:tcPr>
          <w:p>
            <w:r>
              <w:rPr>
                <w:sz w:val="18"/>
              </w:rPr>
              <w:t>临床操作的数字化摄影(DR引导)</w:t>
            </w:r>
          </w:p>
        </w:tc>
        <w:tc>
          <w:tcPr>
            <w:tcW w:type="dxa" w:w="1728"/>
          </w:tcPr>
          <w:p>
            <w:r>
              <w:rPr>
                <w:sz w:val="18"/>
              </w:rPr>
              <w:t>2例</w:t>
            </w:r>
          </w:p>
        </w:tc>
        <w:tc>
          <w:tcPr>
            <w:tcW w:type="dxa" w:w="1728"/>
          </w:tcPr>
          <w:p>
            <w:r>
              <w:rPr>
                <w:sz w:val="18"/>
              </w:rPr>
              <w:t>-</w:t>
            </w:r>
          </w:p>
        </w:tc>
        <w:tc>
          <w:tcPr>
            <w:tcW w:type="dxa" w:w="1728"/>
          </w:tcPr>
          <w:p>
            <w:r>
              <w:rPr>
                <w:sz w:val="18"/>
              </w:rPr>
              <w:t>0例</w:t>
            </w:r>
          </w:p>
        </w:tc>
        <w:tc>
          <w:tcPr>
            <w:tcW w:type="dxa" w:w="1728"/>
          </w:tcPr>
          <w:p>
            <w:r>
              <w:rPr>
                <w:sz w:val="18"/>
              </w:rPr>
              <w:t>0.0%</w:t>
            </w:r>
          </w:p>
        </w:tc>
      </w:tr>
    </w:tbl>
    <w:p/>
    <w:p>
      <w:r/>
      <w:r>
        <w:rPr>
          <w:b/>
        </w:rPr>
        <w:t>模块3：检查检验汇总</w:t>
      </w:r>
      <w:r>
        <w:br/>
        <w:br/>
      </w:r>
      <w:r>
        <w:rPr>
          <w:b/>
        </w:rPr>
        <w:t>检查量统计</w:t>
      </w:r>
      <w:r>
        <w:t>：本周肿瘤血液科共完成各类检查65项。CT平扫28项（占比43.1%），常规心电图19项（29.2%），腹部彩超10项（15.4%），磁共振平扫3项（4.6%），其余DR引导、心脏彩超、胸腹水B超及四肢血管超声各2项及以下。检查总量较前周持平，CT仍为主要影像学手段。</w:t>
        <w:br/>
        <w:br/>
      </w:r>
      <w:r>
        <w:rPr>
          <w:b/>
        </w:rPr>
        <w:t>CT阳性发现</w:t>
      </w:r>
      <w:r>
        <w:t>：CT平扫阳性率30.8%（8项存在阳性征象），磁共振平扫阳性率8.3%（1项）。CT常见报告描述为“请结合临床及其他相关检查”（18项次），提示需核验临床资料。具体发现：双侧胸膜局限性增厚（5项次）、双肺慢性炎症（4项次），符合肿瘤患者合并胸膜及肺实质病变特点。</w:t>
        <w:br/>
        <w:br/>
      </w:r>
      <w:r>
        <w:rPr>
          <w:b/>
        </w:rPr>
        <w:t>检验统计</w:t>
      </w:r>
      <w:r>
        <w:t>：本周未开展常规血液学、生化及肿瘤标志物等实验室检查，检验统计模块暂缺。</w:t>
        <w:br/>
        <w:br/>
      </w:r>
      <w:r>
        <w:rPr>
          <w:b/>
        </w:rPr>
        <w:t>异常指标分析</w:t>
      </w:r>
      <w:r>
        <w:t>：影像异常集中在胸膜增厚与肺部炎症，建议结合患者原发肿瘤类型及治疗史（如化疗后免疫抑制）评估；CT报告中大量“请结合临床”提示影像科与临床科室需加强沟通，明确影像学意义的临床关联度。建议下阶段增加肿瘤标志物、血常规及凝血功能等基础检验项目，以全面监测病情及治疗反应。</w:t>
      </w:r>
    </w:p>
    <w:p/>
    <w:p>
      <w:pPr>
        <w:pStyle w:val="Heading1"/>
      </w:pPr>
      <w:r>
        <w:t>模块4：治疗动态</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日期</w:t>
            </w:r>
          </w:p>
        </w:tc>
        <w:tc>
          <w:tcPr>
            <w:tcW w:type="dxa" w:w="2880"/>
          </w:tcPr>
          <w:p>
            <w:r>
              <w:rPr>
                <w:b/>
                <w:sz w:val="18"/>
              </w:rPr>
              <w:t>手术名称</w:t>
            </w:r>
          </w:p>
        </w:tc>
        <w:tc>
          <w:tcPr>
            <w:tcW w:type="dxa" w:w="2880"/>
          </w:tcPr>
          <w:p>
            <w:r>
              <w:rPr>
                <w:b/>
                <w:sz w:val="18"/>
              </w:rPr>
              <w:t>类型</w:t>
            </w:r>
          </w:p>
        </w:tc>
      </w:tr>
      <w:tr>
        <w:tc>
          <w:tcPr>
            <w:tcW w:type="dxa" w:w="2880"/>
          </w:tcPr>
          <w:p>
            <w:r>
              <w:rPr>
                <w:sz w:val="18"/>
              </w:rPr>
              <w:t>03/07</w:t>
            </w:r>
          </w:p>
        </w:tc>
        <w:tc>
          <w:tcPr>
            <w:tcW w:type="dxa" w:w="2880"/>
          </w:tcPr>
          <w:p>
            <w:r>
              <w:rPr>
                <w:sz w:val="18"/>
              </w:rPr>
              <w:t>动脉化疗栓塞</w:t>
            </w:r>
          </w:p>
        </w:tc>
        <w:tc>
          <w:tcPr>
            <w:tcW w:type="dxa" w:w="2880"/>
          </w:tcPr>
          <w:p>
            <w:r>
              <w:rPr>
                <w:sz w:val="18"/>
              </w:rPr>
            </w:r>
          </w:p>
        </w:tc>
      </w:tr>
      <w:tr>
        <w:tc>
          <w:tcPr>
            <w:tcW w:type="dxa" w:w="2880"/>
          </w:tcPr>
          <w:p>
            <w:r>
              <w:rPr>
                <w:sz w:val="18"/>
              </w:rPr>
              <w:t>03/04</w:t>
            </w:r>
          </w:p>
        </w:tc>
        <w:tc>
          <w:tcPr>
            <w:tcW w:type="dxa" w:w="2880"/>
          </w:tcPr>
          <w:p>
            <w:r>
              <w:rPr>
                <w:sz w:val="18"/>
              </w:rPr>
              <w:t>经皮肝固有动脉栓塞术</w:t>
            </w:r>
          </w:p>
        </w:tc>
        <w:tc>
          <w:tcPr>
            <w:tcW w:type="dxa" w:w="2880"/>
          </w:tcPr>
          <w:p>
            <w:r>
              <w:rPr>
                <w:sz w:val="18"/>
              </w:rPr>
            </w:r>
          </w:p>
        </w:tc>
      </w:tr>
    </w:tbl>
    <w:p/>
    <w:p>
      <w:r>
        <w:t>### 模块4：治疗动态</w:t>
        <w:br/>
        <w:br/>
        <w:t>本周肿瘤血液科共完成介入手术2例，分别为3月4日经皮肝固有动脉栓塞术及3月7日动脉化疗栓塞，均为肝部肿瘤血管介入治疗，手术类型单一且数量较少，提示科室手术量或收治范围存在局限性。化疗实施3例次，尚无具体方案多样性数据。</w:t>
        <w:br/>
        <w:br/>
        <w:t>安全方面，本周不良反应监测显示骨髓抑制发生28例，占化疗及介入治疗患者比例极高，提示化疗或介入药物血液学毒性显著。需重点关注粒细胞缺乏、血小板减少等引发的感染及出血风险，建议加强化疗后血常规监测频次，并评估现有升白细胞/血小板药物干预效果。此外，应核查化疗方案剂量强度及联合用药合理性，排除骨髓储备功能不足或个体差异因素，同时警惕介入手术中化疗栓塞药物对骨髓的附加抑制作用。需强化医护团队对骨髓抑制的分级预警与及时处理能力。</w:t>
      </w:r>
    </w:p>
    <w:p/>
    <w:p>
      <w:pPr>
        <w:pStyle w:val="Heading1"/>
      </w:pPr>
      <w:r>
        <w:t>模块5：质控指标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质控指标</w:t>
            </w:r>
          </w:p>
        </w:tc>
        <w:tc>
          <w:tcPr>
            <w:tcW w:type="dxa" w:w="2160"/>
          </w:tcPr>
          <w:p>
            <w:r>
              <w:rPr>
                <w:b/>
                <w:sz w:val="18"/>
              </w:rPr>
              <w:t>本周</w:t>
            </w:r>
          </w:p>
        </w:tc>
        <w:tc>
          <w:tcPr>
            <w:tcW w:type="dxa" w:w="2160"/>
          </w:tcPr>
          <w:p>
            <w:r>
              <w:rPr>
                <w:b/>
                <w:sz w:val="18"/>
              </w:rPr>
              <w:t>目标值</w:t>
            </w:r>
          </w:p>
        </w:tc>
        <w:tc>
          <w:tcPr>
            <w:tcW w:type="dxa" w:w="2160"/>
          </w:tcPr>
          <w:p>
            <w:r>
              <w:rPr>
                <w:b/>
                <w:sz w:val="18"/>
              </w:rPr>
              <w:t>状态</w:t>
            </w:r>
          </w:p>
        </w:tc>
      </w:tr>
      <w:tr>
        <w:tc>
          <w:tcPr>
            <w:tcW w:type="dxa" w:w="2160"/>
          </w:tcPr>
          <w:p>
            <w:r>
              <w:rPr>
                <w:sz w:val="18"/>
              </w:rPr>
              <w:t>平均住院天数</w:t>
            </w:r>
          </w:p>
        </w:tc>
        <w:tc>
          <w:tcPr>
            <w:tcW w:type="dxa" w:w="2160"/>
          </w:tcPr>
          <w:p>
            <w:r>
              <w:rPr>
                <w:sz w:val="18"/>
              </w:rPr>
              <w:t>6.4天</w:t>
            </w:r>
          </w:p>
        </w:tc>
        <w:tc>
          <w:tcPr>
            <w:tcW w:type="dxa" w:w="2160"/>
          </w:tcPr>
          <w:p>
            <w:r>
              <w:rPr>
                <w:sz w:val="18"/>
              </w:rPr>
              <w:t>≤10天</w:t>
            </w:r>
          </w:p>
        </w:tc>
        <w:tc>
          <w:tcPr>
            <w:tcW w:type="dxa" w:w="2160"/>
          </w:tcPr>
          <w:p>
            <w:r>
              <w:rPr>
                <w:sz w:val="18"/>
              </w:rPr>
              <w:t>达标</w:t>
            </w:r>
          </w:p>
        </w:tc>
      </w:tr>
      <w:tr>
        <w:tc>
          <w:tcPr>
            <w:tcW w:type="dxa" w:w="2160"/>
          </w:tcPr>
          <w:p>
            <w:r>
              <w:rPr>
                <w:sz w:val="18"/>
              </w:rPr>
              <w:t>30天非计划再入院率</w:t>
            </w:r>
          </w:p>
        </w:tc>
        <w:tc>
          <w:tcPr>
            <w:tcW w:type="dxa" w:w="2160"/>
          </w:tcPr>
          <w:p>
            <w:r>
              <w:rPr>
                <w:sz w:val="18"/>
              </w:rPr>
              <w:t>1.5%</w:t>
            </w:r>
          </w:p>
        </w:tc>
        <w:tc>
          <w:tcPr>
            <w:tcW w:type="dxa" w:w="2160"/>
          </w:tcPr>
          <w:p>
            <w:r>
              <w:rPr>
                <w:sz w:val="18"/>
              </w:rPr>
              <w:t>≤5%</w:t>
            </w:r>
          </w:p>
        </w:tc>
        <w:tc>
          <w:tcPr>
            <w:tcW w:type="dxa" w:w="2160"/>
          </w:tcPr>
          <w:p>
            <w:r>
              <w:rPr>
                <w:sz w:val="18"/>
              </w:rPr>
              <w:t>达标</w:t>
            </w:r>
          </w:p>
        </w:tc>
      </w:tr>
    </w:tbl>
    <w:p/>
    <w:p>
      <w:r/>
      <w:r>
        <w:rPr>
          <w:b/>
        </w:rPr>
        <w:t>模块5：质控指标</w:t>
      </w:r>
      <w:r>
        <w:t xml:space="preserve">  </w:t>
        <w:br/>
        <w:t xml:space="preserve">本周肿瘤血液科核心质控指标：平均住院日6.4天，30天再住院率1.5%，均达标；24小时内检查完成率61.1%，未达≥90%的考核标准。  </w:t>
        <w:br/>
      </w:r>
      <w:r>
        <w:rPr>
          <w:b/>
        </w:rPr>
        <w:t>整改要求</w:t>
      </w:r>
      <w:r>
        <w:t>：优化患者入科后检查流程，加强多科室协作与检查预约管理，落实专人跟踪，确保24小时内完成率达90%以上。同步分析延迟原因并纳入科室质量改进月报。</w:t>
      </w:r>
    </w:p>
    <w:p/>
    <w:p>
      <w:pPr>
        <w:pStyle w:val="Heading1"/>
      </w:pPr>
      <w:r>
        <w:t>模块6：重点关注患者</w:t>
      </w:r>
    </w:p>
    <w:p/>
    <w:p>
      <w:r/>
      <w:r>
        <w:rPr>
          <w:b/>
        </w:rPr>
        <w:t>模块6：重点关注患者</w:t>
      </w:r>
      <w:r>
        <w:br/>
        <w:br/>
        <w:t>本周肿瘤血液科重点关注患者监测结果显示：高龄患者（年龄≥65岁）0例，超长住院患者（住院天数&gt;30天）0例。两项指标均为零，表明本周收治患者年龄结构较轻，且住院周转效率良好，未出现因病情复杂或并发症导致的滞留病例。</w:t>
        <w:br/>
        <w:br/>
      </w:r>
      <w:r>
        <w:rPr>
          <w:b/>
        </w:rPr>
        <w:t>管理建议：</w:t>
      </w:r>
      <w:r>
        <w:br/>
        <w:t>1. 虽然本周无高龄及超长住院患者，但仍需保持对高龄患者入院评估的敏感性，重点关注合并基础疾病（如心脑血管、呼吸系统等）的老年患者，预防性制定多学科协作方案。</w:t>
        <w:br/>
        <w:t>2. 持续优化化疗与支持治疗的标准化路径，缩短平均住院日，避免因疗程衔接不畅或因并发症处理延迟导致住院时间延长。</w:t>
        <w:br/>
        <w:t>3. 建议在科室晨会中强调“日间病房”与“门诊化疗”模式的应用，针对轻症稳定期患者及时转介，进一步压缩潜在长住风险。</w:t>
        <w:br/>
        <w:br/>
        <w:t>整体来看，本周重点人群管理状况良好，但需警惕未来收治结构变化带来的压力，维持动态监测与主动干预机制。</w:t>
      </w:r>
    </w:p>
    <w:p/>
    <w:p>
      <w:pPr>
        <w:pStyle w:val="Heading1"/>
      </w:pPr>
      <w:r>
        <w:t>模块7：下周预警</w:t>
      </w:r>
    </w:p>
    <w:p>
      <w:r>
        <w:t>预测周期：2024/03/11—2024/03/17</w:t>
      </w:r>
    </w:p>
    <w:p>
      <w:r>
        <w:t>预计入院总量：51人次</w:t>
      </w:r>
    </w:p>
    <w:p>
      <w:r>
        <w:t>预计手术：0台</w:t>
      </w:r>
    </w:p>
    <w:p/>
    <w:p>
      <w:r/>
      <w:r>
        <w:rPr>
          <w:b/>
        </w:rPr>
        <w:t>模块7：下周预警（2024/03/11—2024/03/17）</w:t>
      </w:r>
      <w:r>
        <w:br/>
        <w:br/>
      </w:r>
      <w:r>
        <w:rPr>
          <w:b/>
        </w:rPr>
        <w:t>入院高峰预警：</w:t>
      </w:r>
      <w:r>
        <w:t xml:space="preserve"> 预测下周入院量为51人次，较常规周均值偏高，预计周二至周三将出现入院小高峰。建议提前调配住院服务中心资源，实行分时段预约入院，避免集中排队。</w:t>
        <w:br/>
        <w:br/>
      </w:r>
      <w:r>
        <w:rPr>
          <w:b/>
        </w:rPr>
        <w:t>床位预警：</w:t>
      </w:r>
      <w:r>
        <w:t xml:space="preserve"> 现有固定床位数难以完全覆盖51人次入院需求，叠加在院患者周转率影响，预计周三至周四床位使用率将突破95%。建议启动跨科室床位协调机制，优先收治化疗及危重患者，对病情稳定者可安排日间病房或家庭病床。</w:t>
        <w:br/>
        <w:br/>
      </w:r>
      <w:r>
        <w:rPr>
          <w:b/>
        </w:rPr>
        <w:t>手术排程：</w:t>
      </w:r>
      <w:r>
        <w:t xml:space="preserve"> 下周预报手术量为0台，无常规择期手术安排。建议利用窗口期集中进行设备维护、耗材盘点及手术室深度消毒，同步安排手术团队参加专项培训或病例讨论。</w:t>
        <w:br/>
        <w:br/>
      </w:r>
      <w:r>
        <w:rPr>
          <w:b/>
        </w:rPr>
        <w:t>特殊事件提醒：</w:t>
      </w:r>
      <w:r>
        <w:t xml:space="preserve"> 近期流感等呼吸道感染高发，请加强入院患者及陪护的体温筛查与流行病学问询，对发热患者严格执行隔离转诊流程，防止院内交叉感染。</w:t>
      </w:r>
    </w:p>
    <w:p/>
    <w:p>
      <w:pPr>
        <w:pStyle w:val="Heading1"/>
      </w:pPr>
      <w:r>
        <w:t>附录</w:t>
      </w:r>
    </w:p>
    <w:p>
      <w:r>
        <w:t>报告说明：本简报数据来源于医院信息系统（HIS）、实验室信息系统（LIS）、影像归档系统（PACS）及电子病历系统（EMR），数据统计截止至每周日24:00。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