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6"/>
        <w:jc w:val="center"/>
      </w:pPr>
      <w:r>
        <w:rPr>
          <w:b/>
          <w:bCs/>
          <w:sz w:val="44"/>
          <w:szCs w:val="44"/>
          <w:rFonts w:ascii="Arial" w:cs="Arial" w:eastAsia="Arial" w:hAnsi="Arial"/>
        </w:rPr>
        <w:t xml:space="preserve">Elvis Edinge</w:t>
      </w:r>
    </w:p>
    <w:p>
      <w:pPr>
        <w:spacing w:after="132"/>
        <w:jc w:val="center"/>
      </w:pPr>
      <w:r>
        <w:rPr>
          <w:i/>
          <w:iCs/>
          <w:sz w:val="22"/>
          <w:szCs w:val="22"/>
          <w:rFonts w:ascii="Arial" w:cs="Arial" w:eastAsia="Arial" w:hAnsi="Arial"/>
        </w:rPr>
        <w:t xml:space="preserve">Senior Site Reliability Engineer</w:t>
      </w:r>
    </w:p>
    <w:p>
      <w:pPr>
        <w:spacing w:after="220" w:line="276" w:lineRule="auto"/>
        <w:jc w:val="center"/>
      </w:pPr>
      <w:r>
        <w:rPr>
          <w:sz w:val="20"/>
          <w:szCs w:val="20"/>
          <w:rFonts w:ascii="Arial" w:cs="Arial" w:eastAsia="Arial" w:hAnsi="Arial"/>
        </w:rPr>
        <w:t xml:space="preserve">✉ elviseedinge@gmail.com</w:t>
      </w:r>
      <w:r>
        <w:rPr>
          <w:sz w:val="20"/>
          <w:szCs w:val="20"/>
          <w:rFonts w:ascii="Arial" w:cs="Arial" w:eastAsia="Arial" w:hAnsi="Arial"/>
        </w:rPr>
        <w:t xml:space="preserve">   </w:t>
      </w:r>
      <w:r>
        <w:rPr>
          <w:sz w:val="20"/>
          <w:szCs w:val="20"/>
          <w:rFonts w:ascii="Arial" w:cs="Arial" w:eastAsia="Arial" w:hAnsi="Arial"/>
        </w:rPr>
        <w:t xml:space="preserve">☎ +1 (945) 206-0255</w:t>
      </w:r>
      <w:r>
        <w:rPr>
          <w:sz w:val="20"/>
          <w:szCs w:val="20"/>
          <w:rFonts w:ascii="Arial" w:cs="Arial" w:eastAsia="Arial" w:hAnsi="Arial"/>
        </w:rPr>
        <w:t xml:space="preserve">   </w:t>
      </w:r>
      <w:r>
        <w:drawing>
          <wp:inline distT="0" distB="0" distL="0" distR="0">
            <wp:extent cx="114300" cy="114300"/>
            <wp:effectExtent t="0" r="0" b="0" l="0"/>
            <wp:docPr id="1" name="Location" descr="Location" title="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extLst>
                        <a:ext uri="{96DAC541-7B7A-43D3-8B79-37D633B846F1}">
                          <asvg:svgBlip xmlns:asvg="http://schemas.microsoft.com/office/drawing/2016/SVG/main" r:embed="rId6"/>
                        </a:ext>
                      </a:extLst>
                    </a:blip>
                    <a:srcRect/>
                    <a:stretch>
                      <a:fillRect/>
                    </a:stretch>
                  </pic:blipFill>
                  <pic:spPr bwMode="auto">
                    <a:xfrm>
                      <a:off x="0" y="0"/>
                      <a:ext cx="114300" cy="114300"/>
                    </a:xfrm>
                    <a:prstGeom prst="rect">
                      <a:avLst/>
                    </a:prstGeom>
                  </pic:spPr>
                </pic:pic>
              </a:graphicData>
            </a:graphic>
          </wp:inline>
        </w:drawing>
      </w:r>
      <w:r>
        <w:rPr>
          <w:sz w:val="20"/>
          <w:szCs w:val="20"/>
          <w:rFonts w:ascii="Arial" w:cs="Arial" w:eastAsia="Arial" w:hAnsi="Arial"/>
        </w:rPr>
        <w:t xml:space="preserve"> Bear, DE</w:t>
      </w:r>
      <w:r>
        <w:rPr>
          <w:sz w:val="20"/>
          <w:szCs w:val="20"/>
          <w:rFonts w:ascii="Arial" w:cs="Arial" w:eastAsia="Arial" w:hAnsi="Arial"/>
        </w:rPr>
        <w:t xml:space="preserve">   </w:t>
      </w:r>
      <w:r>
        <w:drawing>
          <wp:inline distT="0" distB="0" distL="0" distR="0">
            <wp:extent cx="114300" cy="114300"/>
            <wp:effectExtent t="0" r="0" b="0" l="0"/>
            <wp:docPr id="1" name="LinkedIn" descr="LinkedIn" title="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extLst>
                        <a:ext uri="{96DAC541-7B7A-43D3-8B79-37D633B846F1}">
                          <asvg:svgBlip xmlns:asvg="http://schemas.microsoft.com/office/drawing/2016/SVG/main" r:embed="rId8"/>
                        </a:ext>
                      </a:extLst>
                    </a:blip>
                    <a:srcRect/>
                    <a:stretch>
                      <a:fillRect/>
                    </a:stretch>
                  </pic:blipFill>
                  <pic:spPr bwMode="auto">
                    <a:xfrm>
                      <a:off x="0" y="0"/>
                      <a:ext cx="114300" cy="114300"/>
                    </a:xfrm>
                    <a:prstGeom prst="rect">
                      <a:avLst/>
                    </a:prstGeom>
                  </pic:spPr>
                </pic:pic>
              </a:graphicData>
            </a:graphic>
          </wp:inline>
        </w:drawing>
      </w:r>
      <w:r>
        <w:rPr>
          <w:sz w:val="20"/>
          <w:szCs w:val="20"/>
          <w:rFonts w:ascii="Arial" w:cs="Arial" w:eastAsia="Arial" w:hAnsi="Arial"/>
        </w:rPr>
        <w:t xml:space="preserve"> https:/​/​linkedin.com/​in/​elvisedinge</w:t>
      </w:r>
    </w:p>
    <w:p>
      <w:pPr>
        <w:keepNext w:val="false"/>
        <w:pBdr>
          <w:bottom w:val="single" w:color="000000" w:sz="6" w:space="1"/>
        </w:pBdr>
        <w:spacing w:before="220" w:after="96"/>
      </w:pPr>
      <w:r>
        <w:rPr>
          <w:b/>
          <w:bCs/>
          <w:sz w:val="21"/>
          <w:szCs w:val="21"/>
          <w:rFonts w:ascii="Arial" w:cs="Arial" w:eastAsia="Arial" w:hAnsi="Arial"/>
        </w:rPr>
        <w:t xml:space="preserve">SUMMARY</w:t>
      </w:r>
    </w:p>
    <w:p>
      <w:pPr>
        <w:spacing w:after="200" w:line="292" w:lineRule="auto"/>
      </w:pPr>
      <w:r>
        <w:rPr>
          <w:sz w:val="22"/>
          <w:szCs w:val="22"/>
          <w:rFonts w:ascii="Arial" w:cs="Arial" w:eastAsia="Arial" w:hAnsi="Arial"/>
        </w:rPr>
        <w:t xml:space="preserve">Senior Site Reliability Engineer with deep experience in Kubernetes, Terraform, Jenkins CI/CD, Prometheus, Grafana, and AWS production operations. Proven incident response, SLO ownership, and automation leadership across large-scale cloud platforms.</w:t>
      </w:r>
    </w:p>
    <w:p>
      <w:pPr>
        <w:keepNext w:val="false"/>
        <w:pBdr>
          <w:bottom w:val="single" w:color="000000" w:sz="6" w:space="1"/>
        </w:pBdr>
        <w:spacing w:before="220" w:after="96"/>
      </w:pPr>
      <w:r>
        <w:rPr>
          <w:b/>
          <w:bCs/>
          <w:sz w:val="21"/>
          <w:szCs w:val="21"/>
          <w:rFonts w:ascii="Arial" w:cs="Arial" w:eastAsia="Arial" w:hAnsi="Arial"/>
        </w:rPr>
        <w:t xml:space="preserve">SKILLS</w:t>
      </w:r>
    </w:p>
    <w:p>
      <w:pPr>
        <w:spacing w:after="36" w:line="286" w:lineRule="auto"/>
      </w:pPr>
      <w:r>
        <w:rPr>
          <w:sz w:val="20"/>
          <w:szCs w:val="20"/>
          <w:rFonts w:ascii="Arial" w:cs="Arial" w:eastAsia="Arial" w:hAnsi="Arial"/>
        </w:rPr>
        <w:t xml:space="preserve">• </w:t>
      </w:r>
      <w:r>
        <w:rPr>
          <w:b/>
          <w:bCs/>
          <w:sz w:val="20"/>
          <w:szCs w:val="20"/>
          <w:rFonts w:ascii="Arial" w:cs="Arial" w:eastAsia="Arial" w:hAnsi="Arial"/>
        </w:rPr>
        <w:t xml:space="preserve">Languages: </w:t>
      </w:r>
      <w:r>
        <w:rPr>
          <w:sz w:val="20"/>
          <w:szCs w:val="20"/>
          <w:rFonts w:ascii="Arial" w:cs="Arial" w:eastAsia="Arial" w:hAnsi="Arial"/>
        </w:rPr>
        <w:t xml:space="preserve">Java</w:t>
      </w:r>
    </w:p>
    <w:p>
      <w:pPr>
        <w:spacing w:after="36" w:line="286" w:lineRule="auto"/>
      </w:pPr>
      <w:r>
        <w:rPr>
          <w:sz w:val="20"/>
          <w:szCs w:val="20"/>
          <w:rFonts w:ascii="Arial" w:cs="Arial" w:eastAsia="Arial" w:hAnsi="Arial"/>
        </w:rPr>
        <w:t xml:space="preserve">• </w:t>
      </w:r>
      <w:r>
        <w:rPr>
          <w:b/>
          <w:bCs/>
          <w:sz w:val="20"/>
          <w:szCs w:val="20"/>
          <w:rFonts w:ascii="Arial" w:cs="Arial" w:eastAsia="Arial" w:hAnsi="Arial"/>
        </w:rPr>
        <w:t xml:space="preserve">Backend engineering: </w:t>
      </w:r>
      <w:r>
        <w:rPr>
          <w:sz w:val="20"/>
          <w:szCs w:val="20"/>
          <w:rFonts w:ascii="Arial" w:cs="Arial" w:eastAsia="Arial" w:hAnsi="Arial"/>
        </w:rPr>
        <w:t xml:space="preserve">Spring Boot, API Integrations</w:t>
      </w:r>
    </w:p>
    <w:p>
      <w:pPr>
        <w:spacing w:after="36" w:line="286" w:lineRule="auto"/>
      </w:pPr>
      <w:r>
        <w:rPr>
          <w:sz w:val="20"/>
          <w:szCs w:val="20"/>
          <w:rFonts w:ascii="Arial" w:cs="Arial" w:eastAsia="Arial" w:hAnsi="Arial"/>
        </w:rPr>
        <w:t xml:space="preserve">• </w:t>
      </w:r>
      <w:r>
        <w:rPr>
          <w:b/>
          <w:bCs/>
          <w:sz w:val="20"/>
          <w:szCs w:val="20"/>
          <w:rFonts w:ascii="Arial" w:cs="Arial" w:eastAsia="Arial" w:hAnsi="Arial"/>
        </w:rPr>
        <w:t xml:space="preserve">DevOps: </w:t>
      </w:r>
      <w:r>
        <w:rPr>
          <w:sz w:val="20"/>
          <w:szCs w:val="20"/>
          <w:rFonts w:ascii="Arial" w:cs="Arial" w:eastAsia="Arial" w:hAnsi="Arial"/>
        </w:rPr>
        <w:t xml:space="preserve">Kubernetes, Terraform, GitHub, GitHub Actions, Helm, Docker, Jenkins, Apache Tomcat, Release Management, Package Management, Production Elevation, Linux Administration, Application Deployment, Third-Party Repositories, Automated Build Pipelines, Unix, Maven, Nexus, Linux, CI/CD, Apache, Bitbucket, Subversion, Containerization, Continuous Delivery (CD), Continuous Integration (CI), Red Hat Enterprise Linux (RHEL)</w:t>
      </w:r>
    </w:p>
    <w:p>
      <w:pPr>
        <w:spacing w:after="36" w:line="286" w:lineRule="auto"/>
      </w:pPr>
      <w:r>
        <w:rPr>
          <w:sz w:val="20"/>
          <w:szCs w:val="20"/>
          <w:rFonts w:ascii="Arial" w:cs="Arial" w:eastAsia="Arial" w:hAnsi="Arial"/>
        </w:rPr>
        <w:t xml:space="preserve">• </w:t>
      </w:r>
      <w:r>
        <w:rPr>
          <w:b/>
          <w:bCs/>
          <w:sz w:val="20"/>
          <w:szCs w:val="20"/>
          <w:rFonts w:ascii="Arial" w:cs="Arial" w:eastAsia="Arial" w:hAnsi="Arial"/>
        </w:rPr>
        <w:t xml:space="preserve">Cloud engineering: </w:t>
      </w:r>
      <w:r>
        <w:rPr>
          <w:sz w:val="20"/>
          <w:szCs w:val="20"/>
          <w:rFonts w:ascii="Arial" w:cs="Arial" w:eastAsia="Arial" w:hAnsi="Arial"/>
        </w:rPr>
        <w:t xml:space="preserve">AWS, Amazon Web Services (AWS), Capacity Planning, Cloud-Based Technologies, Production Infrastructure, Infrastructure Scalability, Non-Production Environments, High-Availability Cloud Platforms, IaaS, Infrastructure as a Service (IaaS)</w:t>
      </w:r>
    </w:p>
    <w:p>
      <w:pPr>
        <w:spacing w:after="36" w:line="286" w:lineRule="auto"/>
      </w:pPr>
      <w:r>
        <w:rPr>
          <w:sz w:val="20"/>
          <w:szCs w:val="20"/>
          <w:rFonts w:ascii="Arial" w:cs="Arial" w:eastAsia="Arial" w:hAnsi="Arial"/>
        </w:rPr>
        <w:t xml:space="preserve">• </w:t>
      </w:r>
      <w:r>
        <w:rPr>
          <w:b/>
          <w:bCs/>
          <w:sz w:val="20"/>
          <w:szCs w:val="20"/>
          <w:rFonts w:ascii="Arial" w:cs="Arial" w:eastAsia="Arial" w:hAnsi="Arial"/>
        </w:rPr>
        <w:t xml:space="preserve">Engineering practices: </w:t>
      </w:r>
      <w:r>
        <w:rPr>
          <w:sz w:val="20"/>
          <w:szCs w:val="20"/>
          <w:rFonts w:ascii="Arial" w:cs="Arial" w:eastAsia="Arial" w:hAnsi="Arial"/>
        </w:rPr>
        <w:t xml:space="preserve">Ansible, Ansible Playbooks, Software Automation, Automation Scripting, Infrastructure Orchestration, Provisioning, Infrastructure as Code (IaC), IBM FileNet, BMC Control-M, Message Queuing, Database Operations, Workload Scheduling, Mainframe Integrations, Sybase, Failover, ActiveMQ, Redundancy, Grafana, Prometheus, Post-Mortem Analysis, Incident Troubleshooting, Infrastructure Monitoring, Application Health Monitoring, SolarWinds, 24x7 Production Support, Service Level Agreements (SLAs), Service Level Objectives (SLOs), Site Reliability Engineering (SRE), Incident Response, SLO, Log Management, Security Standards, Penetration Testing, Cybersecurity Policies, Architecture Security Reviews, Security Vulnerability Monitoring, DevSecOps, Cybersecurity, Asset and Malware Management, Access and Password Policy Validation, Root Cause Analysis, Incident Management, Systems Troubleshooting, Application Integration, Enterprise System Design, Technical Recommendations, Software Lifecycle Improvements, On-call, Postmortems, Cross-functional leadership, Cross-Functional Collaboration, Jira, ServiceNow, IP Management, Issue Tracking, On-Call Support, Asset Management, Change Management, Application Support, Project Coordination</w:t>
      </w:r>
    </w:p>
    <w:p>
      <w:pPr>
        <w:spacing w:after="36" w:line="286" w:lineRule="auto"/>
      </w:pPr>
      <w:r>
        <w:rPr>
          <w:sz w:val="20"/>
          <w:szCs w:val="20"/>
          <w:rFonts w:ascii="Arial" w:cs="Arial" w:eastAsia="Arial" w:hAnsi="Arial"/>
        </w:rPr>
        <w:t xml:space="preserve">• </w:t>
      </w:r>
      <w:r>
        <w:rPr>
          <w:b/>
          <w:bCs/>
          <w:sz w:val="20"/>
          <w:szCs w:val="20"/>
          <w:rFonts w:ascii="Arial" w:cs="Arial" w:eastAsia="Arial" w:hAnsi="Arial"/>
        </w:rPr>
        <w:t xml:space="preserve">Databases: </w:t>
      </w:r>
      <w:r>
        <w:rPr>
          <w:sz w:val="20"/>
          <w:szCs w:val="20"/>
          <w:rFonts w:ascii="Arial" w:cs="Arial" w:eastAsia="Arial" w:hAnsi="Arial"/>
        </w:rPr>
        <w:t xml:space="preserve">Redis, Redis Replication</w:t>
      </w:r>
    </w:p>
    <w:p>
      <w:pPr>
        <w:spacing w:after="96"/>
      </w:pPr>
    </w:p>
    <w:p>
      <w:pPr>
        <w:keepNext w:val="false"/>
        <w:pBdr>
          <w:bottom w:val="single" w:color="000000" w:sz="6" w:space="1"/>
        </w:pBdr>
        <w:spacing w:before="220" w:after="96"/>
      </w:pPr>
      <w:r>
        <w:rPr>
          <w:b/>
          <w:bCs/>
          <w:sz w:val="21"/>
          <w:szCs w:val="21"/>
          <w:rFonts w:ascii="Arial" w:cs="Arial" w:eastAsia="Arial" w:hAnsi="Arial"/>
        </w:rPr>
        <w:t xml:space="preserve">PROFESSIONAL EXPERIENCE</w:t>
      </w:r>
    </w:p>
    <w:p>
      <w:pPr>
        <w:keepNext/>
        <w:tabs>
          <w:tab w:val="right" w:pos="11339"/>
        </w:tabs>
        <w:spacing w:after="48"/>
      </w:pPr>
      <w:r>
        <w:rPr>
          <w:b/>
          <w:bCs/>
          <w:sz w:val="22"/>
          <w:szCs w:val="22"/>
          <w:rFonts w:ascii="Arial" w:cs="Arial" w:eastAsia="Arial" w:hAnsi="Arial"/>
        </w:rPr>
        <w:t xml:space="preserve">Senior Site Reliability Engineer</w:t>
      </w:r>
      <w:r>
        <w:rPr>
          <w:rFonts w:ascii="Arial" w:cs="Arial" w:eastAsia="Arial" w:hAnsi="Arial"/>
        </w:rPr>
        <w:t xml:space="preserve">	</w:t>
      </w:r>
      <w:r>
        <w:rPr>
          <w:b/>
          <w:bCs/>
          <w:sz w:val="20"/>
          <w:szCs w:val="20"/>
          <w:rFonts w:ascii="Arial" w:cs="Arial" w:eastAsia="Arial" w:hAnsi="Arial"/>
        </w:rPr>
        <w:t xml:space="preserve">12/2023 – 10/2026</w:t>
      </w:r>
    </w:p>
    <w:p>
      <w:pPr>
        <w:keepNext/>
        <w:widowControl/>
        <w:spacing w:after="96"/>
      </w:pPr>
      <w:r>
        <w:rPr>
          <w:i/>
          <w:iCs/>
          <w:sz w:val="20"/>
          <w:szCs w:val="20"/>
          <w:rFonts w:ascii="Arial" w:cs="Arial" w:eastAsia="Arial" w:hAnsi="Arial"/>
        </w:rPr>
        <w:t xml:space="preserve">JPMorganChase</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JPMorganChase achievement 1: delivered measurable reliability and automation impact using Kubernetes, Terraform, and AWS across production platforms.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Developed and deployed software automation to improve operational efficiency and reliability across supported application environments.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Led production incident troubleshooting and contributed technical findings to post-mortem analyses to strengthen system stability.</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Optimized application and platform performance and implemented monitoring frameworks for capacity planning and service-level objectives.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Supported fulfillment of service level agreements (SLAs) and service level objectives (SLOs) for high-availability cloud platforms.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Provided 24x7 production support and developed in-depth expertise in assigned application suites to resolve incidents effectively.</w:t>
      </w:r>
    </w:p>
    <w:p>
      <w:pPr>
        <w:spacing w:after="160"/>
      </w:pPr>
    </w:p>
    <w:p>
      <w:pPr>
        <w:keepNext/>
        <w:tabs>
          <w:tab w:val="right" w:pos="11339"/>
        </w:tabs>
        <w:spacing w:after="48"/>
      </w:pPr>
      <w:r>
        <w:rPr>
          <w:b/>
          <w:bCs/>
          <w:sz w:val="22"/>
          <w:szCs w:val="22"/>
          <w:rFonts w:ascii="Arial" w:cs="Arial" w:eastAsia="Arial" w:hAnsi="Arial"/>
        </w:rPr>
        <w:t xml:space="preserve">Sr. DevOps/SRE Consultant</w:t>
      </w:r>
      <w:r>
        <w:rPr>
          <w:rFonts w:ascii="Arial" w:cs="Arial" w:eastAsia="Arial" w:hAnsi="Arial"/>
        </w:rPr>
        <w:t xml:space="preserve">	</w:t>
      </w:r>
      <w:r>
        <w:rPr>
          <w:b/>
          <w:bCs/>
          <w:sz w:val="20"/>
          <w:szCs w:val="20"/>
          <w:rFonts w:ascii="Arial" w:cs="Arial" w:eastAsia="Arial" w:hAnsi="Arial"/>
        </w:rPr>
        <w:t xml:space="preserve">09/2021 – 11/2023</w:t>
      </w:r>
    </w:p>
    <w:p>
      <w:pPr>
        <w:keepNext/>
        <w:widowControl/>
        <w:spacing w:after="96"/>
      </w:pPr>
      <w:r>
        <w:rPr>
          <w:i/>
          <w:iCs/>
          <w:sz w:val="20"/>
          <w:szCs w:val="20"/>
          <w:rFonts w:ascii="Arial" w:cs="Arial" w:eastAsia="Arial" w:hAnsi="Arial"/>
        </w:rPr>
        <w:t xml:space="preserve">Capital One</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Capital One achievement 1: delivered measurable reliability and automation impact using Kubernetes, Terraform, and AWS across production platforms.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Developed fully automated pipelines to build, test, and deploy applications across multiple environments.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Designed, built, and implemented enterprise-class security systems for production infrastructure, information systems, networks, and data resilience.</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Containerized environments and adopted cloud technologies to meet business and infrastructure goals.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Identified security design gaps in existing infrastructure and proposed architectural enhancements.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Maintained core infrastructure capable of scaling to support hundreds of thousands of concurrent users.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Built automated orchestration routines to measure and contextualize security issues for operational teams.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Monitored adherence to cybersecurity policies, standards, and procedures across supported environments.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Provided systems support through a rotational on-call schedule.</w:t>
      </w:r>
    </w:p>
    <w:p>
      <w:pPr>
        <w:spacing w:after="160"/>
      </w:pPr>
    </w:p>
    <w:p>
      <w:pPr>
        <w:keepNext/>
        <w:tabs>
          <w:tab w:val="right" w:pos="11339"/>
        </w:tabs>
        <w:spacing w:after="48"/>
      </w:pPr>
      <w:r>
        <w:rPr>
          <w:b/>
          <w:bCs/>
          <w:sz w:val="22"/>
          <w:szCs w:val="22"/>
          <w:rFonts w:ascii="Arial" w:cs="Arial" w:eastAsia="Arial" w:hAnsi="Arial"/>
        </w:rPr>
        <w:t xml:space="preserve">Engineering Ops Lead</w:t>
      </w:r>
      <w:r>
        <w:rPr>
          <w:rFonts w:ascii="Arial" w:cs="Arial" w:eastAsia="Arial" w:hAnsi="Arial"/>
        </w:rPr>
        <w:t xml:space="preserve">	</w:t>
      </w:r>
      <w:r>
        <w:rPr>
          <w:b/>
          <w:bCs/>
          <w:sz w:val="20"/>
          <w:szCs w:val="20"/>
          <w:rFonts w:ascii="Arial" w:cs="Arial" w:eastAsia="Arial" w:hAnsi="Arial"/>
        </w:rPr>
        <w:t xml:space="preserve">04/2019 – 09/2021</w:t>
      </w:r>
    </w:p>
    <w:p>
      <w:pPr>
        <w:keepNext/>
        <w:widowControl/>
        <w:spacing w:after="96"/>
      </w:pPr>
      <w:r>
        <w:rPr>
          <w:i/>
          <w:iCs/>
          <w:sz w:val="20"/>
          <w:szCs w:val="20"/>
          <w:rFonts w:ascii="Arial" w:cs="Arial" w:eastAsia="Arial" w:hAnsi="Arial"/>
        </w:rPr>
        <w:t xml:space="preserve">Comcast</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Comcast achievement 1: delivered measurable reliability and automation impact using Kubernetes, Terraform, and AWS across production platforms.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Built and operated Infrastructure as Code and automation workflows using Ansible, Docker, GitHub, Terraform, and Jenkins CI/CD.</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Led the change management lifecycle, developing strategies and implementation plans to support adoption of infrastructure changes.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Managed, upgraded, and troubleshot databases and systems supporting internal applications on Red Hat Enterprise Linux (RHEL).</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Installed and configured equipment in production and non-production environments to support automation and Infrastructure as a Service (IaaS).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Integrated ServiceNow, Jira, asset management, configuration management, and IP management platforms into automated operations workflows.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Developed scripting and API integrations between applications and operational tools to automate workflows.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Used Prometheus and Grafana to collect metrics and display infrastructure and application monitoring data in dashboards.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Coordinated operational work using project management, time management, and clear technical communication.</w:t>
      </w:r>
    </w:p>
    <w:p>
      <w:pPr>
        <w:spacing w:after="160"/>
      </w:pPr>
    </w:p>
    <w:p>
      <w:pPr>
        <w:keepNext/>
        <w:tabs>
          <w:tab w:val="right" w:pos="11339"/>
        </w:tabs>
        <w:spacing w:after="48"/>
      </w:pPr>
      <w:r>
        <w:rPr>
          <w:b/>
          <w:bCs/>
          <w:sz w:val="22"/>
          <w:szCs w:val="22"/>
          <w:rFonts w:ascii="Arial" w:cs="Arial" w:eastAsia="Arial" w:hAnsi="Arial"/>
        </w:rPr>
        <w:t xml:space="preserve">DevOps Engineer</w:t>
      </w:r>
      <w:r>
        <w:rPr>
          <w:rFonts w:ascii="Arial" w:cs="Arial" w:eastAsia="Arial" w:hAnsi="Arial"/>
        </w:rPr>
        <w:t xml:space="preserve">	</w:t>
      </w:r>
      <w:r>
        <w:rPr>
          <w:b/>
          <w:bCs/>
          <w:sz w:val="20"/>
          <w:szCs w:val="20"/>
          <w:rFonts w:ascii="Arial" w:cs="Arial" w:eastAsia="Arial" w:hAnsi="Arial"/>
        </w:rPr>
        <w:t xml:space="preserve">05/2018 – 03/2019</w:t>
      </w:r>
    </w:p>
    <w:p>
      <w:pPr>
        <w:keepNext/>
        <w:widowControl/>
        <w:spacing w:after="96"/>
      </w:pPr>
      <w:r>
        <w:rPr>
          <w:i/>
          <w:iCs/>
          <w:sz w:val="20"/>
          <w:szCs w:val="20"/>
          <w:rFonts w:ascii="Arial" w:cs="Arial" w:eastAsia="Arial" w:hAnsi="Arial"/>
        </w:rPr>
        <w:t xml:space="preserve">TEKsystems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TEKsystems achievement 1: delivered measurable reliability and automation impact using Kubernetes, Terraform, and AWS across production platforms.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Used SolarWinds to monitor security vulnerabilities and application health across supported environments.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Configured Redis multi-node environments with Ansible playbooks, including replication, failover, and redundancy.</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Advised on core software update policies, third-party repositories, and repository maintenance.</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Configured and integrated ActiveMQ for message queuing between applications.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Automated continuous integration and delivery using Bitbucket, Jenkins, and Ansible, reducing application release times by 20%.</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Designed and recommended integrated systems solutions that protected proprietary and confidential enterprise data.</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Improved technologies and infrastructure supporting application environments while identifying and monitoring operational threats.</w:t>
      </w:r>
    </w:p>
    <w:p>
      <w:pPr>
        <w:spacing w:after="160"/>
      </w:pPr>
    </w:p>
    <w:p>
      <w:pPr>
        <w:keepNext/>
        <w:tabs>
          <w:tab w:val="right" w:pos="11339"/>
        </w:tabs>
        <w:spacing w:after="48"/>
      </w:pPr>
      <w:r>
        <w:rPr>
          <w:b/>
          <w:bCs/>
          <w:sz w:val="22"/>
          <w:szCs w:val="22"/>
          <w:rFonts w:ascii="Arial" w:cs="Arial" w:eastAsia="Arial" w:hAnsi="Arial"/>
        </w:rPr>
        <w:t xml:space="preserve">DevOps Engineer</w:t>
      </w:r>
      <w:r>
        <w:rPr>
          <w:rFonts w:ascii="Arial" w:cs="Arial" w:eastAsia="Arial" w:hAnsi="Arial"/>
        </w:rPr>
        <w:t xml:space="preserve">	</w:t>
      </w:r>
      <w:r>
        <w:rPr>
          <w:b/>
          <w:bCs/>
          <w:sz w:val="20"/>
          <w:szCs w:val="20"/>
          <w:rFonts w:ascii="Arial" w:cs="Arial" w:eastAsia="Arial" w:hAnsi="Arial"/>
        </w:rPr>
        <w:t xml:space="preserve">07/2015 – 05/2018</w:t>
      </w:r>
    </w:p>
    <w:p>
      <w:pPr>
        <w:keepNext/>
        <w:widowControl/>
        <w:spacing w:after="96"/>
      </w:pPr>
      <w:r>
        <w:rPr>
          <w:i/>
          <w:iCs/>
          <w:sz w:val="20"/>
          <w:szCs w:val="20"/>
          <w:rFonts w:ascii="Arial" w:cs="Arial" w:eastAsia="Arial" w:hAnsi="Arial"/>
        </w:rPr>
        <w:t xml:space="preserve">Vanguard</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Vanguard achievement 1: delivered measurable reliability and automation impact using Kubernetes, Terraform, and AWS across production platforms.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Supported application packaging and deployment pipelines for continuous integration and continuous delivery.</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Coordinated with change management to provision connection strings and application IDs in a vault for mainframe, Sybase, and database integrations during production elevation.</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Used ServiceNow to manage the change management lifecycle and support controlled application releases.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Managed application build releases and source and artifact repositories using Subversion and Nexus.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Worked with development, application, networking, and security teams to provision environments and coordinate build releases.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Created staging directories, workspaces, and control files for CI and provisioning in production and non-production environments.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Used Jira to track projects and defects and improved alerting efficiency by 90% without losing environment or project visibility.</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Configured Java application build environments with Maven, Jenkins, and Ansible, reducing release times by 20%.</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Used a policy reader tool to validate agent groups, agent configuration objects, authentication schemes, and password policies.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Used IBM FileNet for enterprise content management and BMC Control-M for scheduling jobs and workloads on Unix and Linux systems.</w:t>
      </w:r>
    </w:p>
    <w:p>
      <w:pPr>
        <w:spacing w:after="48" w:line="292" w:lineRule="auto"/>
      </w:pPr>
      <w:r>
        <w:rPr>
          <w:sz w:val="20"/>
          <w:szCs w:val="20"/>
          <w:rFonts w:ascii="Arial" w:cs="Arial" w:eastAsia="Arial" w:hAnsi="Arial"/>
        </w:rPr>
        <w:t xml:space="preserve">• </w:t>
      </w:r>
      <w:r>
        <w:rPr>
          <w:sz w:val="20"/>
          <w:szCs w:val="20"/>
          <w:rFonts w:ascii="Arial" w:cs="Arial" w:eastAsia="Arial" w:hAnsi="Arial"/>
        </w:rPr>
        <w:t xml:space="preserve">Deployed applications on Apache Tomcat 6.x, 7.x, and 8.x and Apache web servers running on Linux and Red Hat environments.</w:t>
      </w:r>
    </w:p>
    <w:p>
      <w:pPr>
        <w:spacing w:after="160"/>
      </w:pPr>
    </w:p>
    <w:p>
      <w:pPr>
        <w:keepNext/>
        <w:pBdr>
          <w:bottom w:val="single" w:color="000000" w:sz="6" w:space="1"/>
        </w:pBdr>
        <w:spacing w:before="220" w:after="96"/>
      </w:pPr>
      <w:r>
        <w:rPr>
          <w:b/>
          <w:bCs/>
          <w:sz w:val="21"/>
          <w:szCs w:val="21"/>
          <w:rFonts w:ascii="Arial" w:cs="Arial" w:eastAsia="Arial" w:hAnsi="Arial"/>
        </w:rPr>
        <w:t xml:space="preserve">EDUCATION</w:t>
      </w:r>
    </w:p>
    <w:p>
      <w:pPr>
        <w:keepNext/>
        <w:tabs>
          <w:tab w:val="right" w:pos="11339"/>
        </w:tabs>
        <w:spacing w:after="48"/>
      </w:pPr>
      <w:r>
        <w:rPr>
          <w:b/>
          <w:bCs/>
          <w:sz w:val="22"/>
          <w:szCs w:val="22"/>
          <w:rFonts w:ascii="Arial" w:cs="Arial" w:eastAsia="Arial" w:hAnsi="Arial"/>
        </w:rPr>
        <w:t xml:space="preserve">Master of Science - MS, Cybersecurity Technology</w:t>
      </w:r>
      <w:r>
        <w:rPr>
          <w:rFonts w:ascii="Arial" w:cs="Arial" w:eastAsia="Arial" w:hAnsi="Arial"/>
        </w:rPr>
        <w:t xml:space="preserve">	</w:t>
      </w:r>
      <w:r>
        <w:rPr>
          <w:b/>
          <w:bCs/>
          <w:sz w:val="20"/>
          <w:szCs w:val="20"/>
          <w:rFonts w:ascii="Arial" w:cs="Arial" w:eastAsia="Arial" w:hAnsi="Arial"/>
        </w:rPr>
        <w:t xml:space="preserve">2021 – 2022</w:t>
      </w:r>
    </w:p>
    <w:p>
      <w:pPr>
        <w:widowControl/>
        <w:spacing w:after="176" w:line="280" w:lineRule="auto"/>
      </w:pPr>
      <w:r>
        <w:rPr>
          <w:i/>
          <w:iCs/>
          <w:sz w:val="20"/>
          <w:szCs w:val="20"/>
          <w:rFonts w:ascii="Arial" w:cs="Arial" w:eastAsia="Arial" w:hAnsi="Arial"/>
        </w:rPr>
        <w:t xml:space="preserve">University of Maryland Global Campus</w:t>
      </w:r>
    </w:p>
    <w:p>
      <w:pPr>
        <w:keepNext/>
        <w:tabs>
          <w:tab w:val="right" w:pos="11339"/>
        </w:tabs>
        <w:spacing w:after="48"/>
      </w:pPr>
      <w:r>
        <w:rPr>
          <w:b/>
          <w:bCs/>
          <w:sz w:val="22"/>
          <w:szCs w:val="22"/>
          <w:rFonts w:ascii="Arial" w:cs="Arial" w:eastAsia="Arial" w:hAnsi="Arial"/>
        </w:rPr>
        <w:t xml:space="preserve">Bachelor of Science - BS, Computer Science</w:t>
      </w:r>
      <w:r>
        <w:rPr>
          <w:rFonts w:ascii="Arial" w:cs="Arial" w:eastAsia="Arial" w:hAnsi="Arial"/>
        </w:rPr>
        <w:t xml:space="preserve">	</w:t>
      </w:r>
      <w:r>
        <w:rPr>
          <w:b/>
          <w:bCs/>
          <w:sz w:val="20"/>
          <w:szCs w:val="20"/>
          <w:rFonts w:ascii="Arial" w:cs="Arial" w:eastAsia="Arial" w:hAnsi="Arial"/>
        </w:rPr>
        <w:t xml:space="preserve">2018 – 2020</w:t>
      </w:r>
    </w:p>
    <w:p>
      <w:pPr>
        <w:widowControl/>
        <w:spacing w:after="176" w:line="280" w:lineRule="auto"/>
      </w:pPr>
      <w:r>
        <w:rPr>
          <w:i/>
          <w:iCs/>
          <w:sz w:val="20"/>
          <w:szCs w:val="20"/>
          <w:rFonts w:ascii="Arial" w:cs="Arial" w:eastAsia="Arial" w:hAnsi="Arial"/>
        </w:rPr>
        <w:t xml:space="preserve">University of Maryland Global Campus</w:t>
      </w:r>
    </w:p>
    <w:p>
      <w:pPr>
        <w:keepNext/>
        <w:tabs>
          <w:tab w:val="right" w:pos="11339"/>
        </w:tabs>
        <w:spacing w:after="48"/>
      </w:pPr>
      <w:r>
        <w:rPr>
          <w:b/>
          <w:bCs/>
          <w:sz w:val="22"/>
          <w:szCs w:val="22"/>
          <w:rFonts w:ascii="Arial" w:cs="Arial" w:eastAsia="Arial" w:hAnsi="Arial"/>
        </w:rPr>
        <w:t xml:space="preserve">Associate of Science - AS, Computer and Information Sciences</w:t>
      </w:r>
      <w:r>
        <w:rPr>
          <w:rFonts w:ascii="Arial" w:cs="Arial" w:eastAsia="Arial" w:hAnsi="Arial"/>
        </w:rPr>
        <w:t xml:space="preserve">	</w:t>
      </w:r>
      <w:r>
        <w:rPr>
          <w:b/>
          <w:bCs/>
          <w:sz w:val="20"/>
          <w:szCs w:val="20"/>
          <w:rFonts w:ascii="Arial" w:cs="Arial" w:eastAsia="Arial" w:hAnsi="Arial"/>
        </w:rPr>
        <w:t xml:space="preserve">2013 – 2015</w:t>
      </w:r>
    </w:p>
    <w:p>
      <w:pPr>
        <w:widowControl/>
        <w:spacing w:after="176" w:line="280" w:lineRule="auto"/>
      </w:pPr>
      <w:r>
        <w:rPr>
          <w:i/>
          <w:iCs/>
          <w:sz w:val="20"/>
          <w:szCs w:val="20"/>
          <w:rFonts w:ascii="Arial" w:cs="Arial" w:eastAsia="Arial" w:hAnsi="Arial"/>
        </w:rPr>
        <w:t xml:space="preserve">Delaware Technical Community College</w:t>
      </w:r>
    </w:p>
    <w:sectPr>
      <w:pgSz w:w="11905" w:h="16837" w:orient="portrait"/>
      <w:pgMar w:top="566" w:right="566" w:bottom="566"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x_moscm-mzbe6pfvfc-y.svg"/><Relationship Id="rId7" Type="http://schemas.openxmlformats.org/officeDocument/2006/relationships/image" Target="media/rh-g-mhlolg5x-dyd1yko.png"/><Relationship Id="rId8" Type="http://schemas.openxmlformats.org/officeDocument/2006/relationships/image" Target="media/bbektvcc-kbzy6jxqw-t0.svg"/><Relationship Id="rId9" Type="http://schemas.openxmlformats.org/officeDocument/2006/relationships/image" Target="media/nv8ao1cryfz5mim6dtr37.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Un-named</dc:creator>
  <cp:lastModifiedBy>Un-named</cp:lastModifiedBy>
  <cp:revision>1</cp:revision>
  <dcterms:created xsi:type="dcterms:W3CDTF">2026-10-27T11:44:58.006Z</dcterms:created>
  <dcterms:modified xsi:type="dcterms:W3CDTF">2026-10-27T11:44:58.007Z</dcterms:modified>
</cp:coreProperties>
</file>

<file path=docProps/custom.xml><?xml version="1.0" encoding="utf-8"?>
<Properties xmlns="http://schemas.openxmlformats.org/officeDocument/2006/custom-properties" xmlns:vt="http://schemas.openxmlformats.org/officeDocument/2006/docPropsVTypes"/>
</file>