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7350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直接在主分析窗口按以下方式增加二阶博弈标签页，作为一个单独另一个页面的模块设计。二者的数据可以通过接口实现数据流动。</w:t>
      </w:r>
    </w:p>
    <w:p w14:paraId="3DC6960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原型设计：</w:t>
      </w:r>
    </w:p>
    <w:p w14:paraId="764740B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品种栏右侧位置为 策略模块 的浏览标签</w:t>
      </w:r>
    </w:p>
    <w:p w14:paraId="0333E9F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点击浏览标签，可在“技术分析”和“二阶博弈”两个模块中切换。在首页的策略页面中，可以启用和减少模块。</w:t>
      </w:r>
    </w:p>
    <w:p w14:paraId="183507C3">
      <w:pPr>
        <w:pStyle w:val="4"/>
        <w:keepNext w:val="0"/>
        <w:keepLines w:val="0"/>
        <w:widowControl/>
        <w:suppressLineNumbers w:val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T+0模式下，自动交易系统仅根据技术分析模块分析的下单决策下单，</w:t>
      </w:r>
      <w:r>
        <w:rPr>
          <w:rFonts w:ascii="宋体" w:hAnsi="宋体" w:eastAsia="宋体" w:cs="宋体"/>
          <w:sz w:val="24"/>
          <w:szCs w:val="24"/>
        </w:rPr>
        <w:t>T+1模式下，自动交易系统根据博弈结果下单。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所以</w:t>
      </w:r>
      <w:r>
        <w:rPr>
          <w:rFonts w:ascii="宋体" w:hAnsi="宋体" w:eastAsia="宋体" w:cs="宋体"/>
          <w:sz w:val="24"/>
          <w:szCs w:val="24"/>
        </w:rPr>
        <w:t>T+1 模式下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pa的技术</w:t>
      </w:r>
      <w:r>
        <w:rPr>
          <w:rFonts w:ascii="宋体" w:hAnsi="宋体" w:eastAsia="宋体" w:cs="宋体"/>
          <w:sz w:val="24"/>
          <w:szCs w:val="24"/>
        </w:rPr>
        <w:t>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模块</w:t>
      </w:r>
      <w:r>
        <w:rPr>
          <w:rFonts w:ascii="宋体" w:hAnsi="宋体" w:eastAsia="宋体" w:cs="宋体"/>
          <w:sz w:val="24"/>
          <w:szCs w:val="24"/>
        </w:rPr>
        <w:t>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成</w:t>
      </w:r>
      <w:r>
        <w:rPr>
          <w:rFonts w:ascii="宋体" w:hAnsi="宋体" w:eastAsia="宋体" w:cs="宋体"/>
          <w:sz w:val="24"/>
          <w:szCs w:val="24"/>
        </w:rPr>
        <w:t>阶段 1、阶段 2 之后，就自动启动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二阶博弈</w:t>
      </w:r>
      <w:r>
        <w:rPr>
          <w:rFonts w:hint="eastAsia" w:ascii="宋体" w:hAnsi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1218A321">
      <w:pPr>
        <w:pStyle w:val="4"/>
        <w:keepNext w:val="0"/>
        <w:keepLines w:val="0"/>
        <w:widowControl/>
        <w:suppressLineNumbers w:val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5A26A0F">
      <w:pPr>
        <w:pStyle w:val="4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二阶博弈分析需要进行联动分析的时候</w:t>
      </w:r>
    </w:p>
    <w:p w14:paraId="174BC4A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</w:rPr>
        <w:t>直接在阶段三拿阶段二json输出的决策，重新按照 T+1T+0 还有持仓的状况去重新算一遍。如果是T+0就执行阶段2的原决策，T+1就走阶段3的二元决策树。</w:t>
      </w:r>
    </w:p>
    <w:p w14:paraId="79A2A4C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阶段一：市场结构诊断</w:t>
      </w:r>
    </w:p>
    <w:p w14:paraId="3192BD3A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6526BE5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阶段二：按纯价格行为生成原始交易决策</w:t>
      </w:r>
    </w:p>
    <w:p w14:paraId="4D353D18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110E4BDB">
      <w:pPr>
        <w:pStyle w:val="3"/>
        <w:keepNext w:val="0"/>
        <w:keepLines w:val="0"/>
        <w:widowControl/>
        <w:suppressLineNumbers w:val="0"/>
        <w:bidi w:val="0"/>
        <w:rPr>
          <w:rStyle w:val="7"/>
          <w:rFonts w:hint="default" w:eastAsia="宋体"/>
          <w:lang w:val="en-US" w:eastAsia="zh-CN"/>
        </w:rPr>
      </w:pPr>
      <w:r>
        <w:rPr>
          <w:rStyle w:val="7"/>
          <w:rFonts w:hint="eastAsia"/>
          <w:lang w:eastAsia="zh-CN"/>
        </w:rPr>
        <w:t>二阶博弈</w:t>
      </w:r>
      <w:r>
        <w:rPr>
          <w:rStyle w:val="7"/>
        </w:rPr>
        <w:t>：基于</w:t>
      </w:r>
      <w:r>
        <w:rPr>
          <w:rStyle w:val="7"/>
          <w:rFonts w:hint="eastAsia"/>
          <w:lang w:val="en-US" w:eastAsia="zh-CN"/>
        </w:rPr>
        <w:t>博弈论的推演系统</w:t>
      </w:r>
    </w:p>
    <w:p w14:paraId="00AEED75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</w:t>
      </w:r>
    </w:p>
    <w:p w14:paraId="20D8DD13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  <w:rFonts w:hint="eastAsia"/>
          <w:lang w:eastAsia="zh-CN"/>
        </w:rPr>
        <w:t>二阶博弈</w:t>
      </w:r>
      <w:r>
        <w:rPr>
          <w:rStyle w:val="7"/>
          <w:rFonts w:hint="eastAsia"/>
          <w:lang w:val="en-US" w:eastAsia="zh-CN"/>
        </w:rPr>
        <w:t>决策</w:t>
      </w:r>
      <w:r>
        <w:rPr>
          <w:rStyle w:val="7"/>
        </w:rPr>
        <w:t>：结合交易制度、持仓和风险报告生成最终决策</w:t>
      </w:r>
    </w:p>
    <w:p w14:paraId="13434E9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8A92A25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eastAsia="zh-CN"/>
        </w:rPr>
        <w:t>二阶博弈</w:t>
      </w:r>
      <w:r>
        <w:rPr>
          <w:rStyle w:val="7"/>
          <w:rFonts w:hint="eastAsia"/>
          <w:lang w:val="en-US" w:eastAsia="zh-CN"/>
        </w:rPr>
        <w:t>决策</w:t>
      </w:r>
      <w:r>
        <w:t>只重新计算：</w:t>
      </w:r>
    </w:p>
    <w:p w14:paraId="3CDE1F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持仓是否可卖</w:t>
      </w:r>
    </w:p>
    <w:p w14:paraId="4DE7E1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当日新增仓位是否被锁定</w:t>
      </w:r>
    </w:p>
    <w:p w14:paraId="6D0CF6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隔夜和解锁前风险是否可接受</w:t>
      </w:r>
    </w:p>
    <w:p w14:paraId="6AC0EB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加入 T+1 风险后的交易者方程是否仍通过</w:t>
      </w:r>
    </w:p>
    <w:p w14:paraId="18E432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阶段二计划应批准、否决、延迟还是转为未来退出计划</w:t>
      </w:r>
    </w:p>
    <w:p w14:paraId="589F7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lang w:eastAsia="zh-CN"/>
        </w:rPr>
      </w:pPr>
      <w:r>
        <w:t>阶段二计划应批准、否决、延迟还是转为未来退出计划</w:t>
      </w:r>
      <w:r>
        <w:rPr>
          <w:rFonts w:hint="eastAsia"/>
          <w:lang w:eastAsia="zh-CN"/>
        </w:rPr>
        <w:t>：</w:t>
      </w:r>
    </w:p>
    <w:p w14:paraId="04793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 xml:space="preserve">把 PA agent 输出的二阶段回答，直接路由到这个页面的llm输入栏中，然后注入系统提示词让 AI </w:t>
      </w:r>
      <w:r>
        <w:rPr>
          <w:rFonts w:ascii="宋体" w:hAnsi="宋体" w:eastAsia="宋体" w:cs="宋体"/>
          <w:sz w:val="24"/>
          <w:szCs w:val="24"/>
        </w:rPr>
        <w:t>重新给出技术分析的下单可行性分析，并给出全情况应对树。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该环节</w:t>
      </w:r>
      <w:r>
        <w:rPr>
          <w:rFonts w:ascii="宋体" w:hAnsi="宋体" w:eastAsia="宋体" w:cs="宋体"/>
          <w:sz w:val="24"/>
          <w:szCs w:val="24"/>
        </w:rPr>
        <w:t>进一步调整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pa最后输出的</w:t>
      </w:r>
      <w:r>
        <w:rPr>
          <w:rFonts w:ascii="宋体" w:hAnsi="宋体" w:eastAsia="宋体" w:cs="宋体"/>
          <w:sz w:val="24"/>
          <w:szCs w:val="24"/>
        </w:rPr>
        <w:t>胜率和就可以影响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交易者方程，最终影响</w:t>
      </w:r>
      <w:r>
        <w:rPr>
          <w:rFonts w:ascii="宋体" w:hAnsi="宋体" w:eastAsia="宋体" w:cs="宋体"/>
          <w:sz w:val="24"/>
          <w:szCs w:val="24"/>
        </w:rPr>
        <w:t>下不下单。</w:t>
      </w:r>
    </w:p>
    <w:p w14:paraId="7730513B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58C4EB6">
      <w:pPr>
        <w:pStyle w:val="2"/>
        <w:keepNext w:val="0"/>
        <w:keepLines w:val="0"/>
        <w:widowControl/>
        <w:suppressLineNumbers w:val="0"/>
      </w:pPr>
      <w:r>
        <w:t>概率问题应</w:t>
      </w:r>
      <w:r>
        <w:rPr>
          <w:rFonts w:hint="eastAsia"/>
          <w:lang w:val="en-US" w:eastAsia="zh-CN"/>
        </w:rPr>
        <w:t>更好</w:t>
      </w:r>
      <w:bookmarkStart w:id="0" w:name="_GoBack"/>
      <w:bookmarkEnd w:id="0"/>
      <w:r>
        <w:t>定义</w:t>
      </w:r>
    </w:p>
    <w:p w14:paraId="49CE9AD9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我</w:t>
      </w:r>
      <w:r>
        <w:t>说的“先达到止损线的速度”和“先下跌后反弹到入场价的速度”，从建模角度更适合定义为“竞争障碍首次触达概率”，而不是模糊的速度：</w:t>
      </w:r>
    </w:p>
    <w:p w14:paraId="36372C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买入后、解锁卖出前触碰止损价的概率</w:t>
      </w:r>
    </w:p>
    <w:p w14:paraId="2442F5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下一交易日开盘直接低于止损价的概率</w:t>
      </w:r>
    </w:p>
    <w:p w14:paraId="0B6151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解锁后先触碰止损价、还是先恢复入场价的概率</w:t>
      </w:r>
    </w:p>
    <w:p w14:paraId="0F1836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下一交易日最大亏损超过 </w:t>
      </w:r>
      <w:r>
        <w:rPr>
          <w:rStyle w:val="7"/>
        </w:rPr>
        <w:t>1 ATR</w:t>
      </w:r>
      <w:r>
        <w:t>、</w:t>
      </w:r>
      <w:r>
        <w:rPr>
          <w:rStyle w:val="7"/>
        </w:rPr>
        <w:t>2 ATR</w:t>
      </w:r>
      <w:r>
        <w:t xml:space="preserve"> 或固定百分比的概率</w:t>
      </w:r>
    </w:p>
    <w:p w14:paraId="6B87DA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未来若干交易日内恢复入场价的概率</w:t>
      </w:r>
    </w:p>
    <w:p w14:paraId="353374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极端情况下的预期损失，例如 95% 条件风险值</w:t>
      </w:r>
    </w:p>
    <w:p w14:paraId="4B3147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因跌停、停牌、流动性不足导致无法按止损价成交的概率</w:t>
      </w:r>
    </w:p>
    <w:p w14:paraId="279A5994">
      <w:pPr>
        <w:pStyle w:val="4"/>
        <w:keepNext w:val="0"/>
        <w:keepLines w:val="0"/>
        <w:widowControl/>
        <w:suppressLineNumbers w:val="0"/>
      </w:pPr>
      <w:r>
        <w:t>“大幅亏损”必须量化。例如：</w:t>
      </w:r>
    </w:p>
    <w:p w14:paraId="3698E123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大幅亏损 = 下一交易日开盘亏损超过 1.5 ATR</w:t>
      </w:r>
    </w:p>
    <w:p w14:paraId="332D9AD5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或者</w:t>
      </w:r>
    </w:p>
    <w:p w14:paraId="38A07660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>大幅亏损 = 实际可成交价格比计划止损价低 3%以上</w:t>
      </w:r>
    </w:p>
    <w:p w14:paraId="1CFD77F5">
      <w:pPr>
        <w:pStyle w:val="4"/>
        <w:keepNext w:val="0"/>
        <w:keepLines w:val="0"/>
        <w:widowControl/>
        <w:suppressLineNumbers w:val="0"/>
      </w:pPr>
      <w:r>
        <w:t>否则同一个概率在不同波动率股票上没有可比性。</w:t>
      </w:r>
    </w:p>
    <w:p w14:paraId="4D9EA539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阶段</w:t>
      </w:r>
      <w:r>
        <w:rPr>
          <w:rFonts w:hint="eastAsia"/>
          <w:lang w:val="en-US" w:eastAsia="zh-CN"/>
        </w:rPr>
        <w:t>三</w:t>
      </w:r>
      <w:r>
        <w:t>的 T+1 决策树</w:t>
      </w:r>
      <w:r>
        <w:rPr>
          <w:rFonts w:hint="eastAsia"/>
          <w:lang w:val="en-US" w:eastAsia="zh-CN"/>
        </w:rPr>
        <w:t>建议</w:t>
      </w:r>
    </w:p>
    <w:p w14:paraId="04A58409">
      <w:pPr>
        <w:pStyle w:val="4"/>
        <w:keepNext w:val="0"/>
        <w:keepLines w:val="0"/>
        <w:widowControl/>
        <w:suppressLineNumbers w:val="0"/>
      </w:pPr>
      <w:r>
        <w:t>建议增加这样的分支：</w:t>
      </w:r>
    </w:p>
    <w:p w14:paraId="78BC95D5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当前是否为 A股T+1？</w:t>
      </w:r>
    </w:p>
    <w:p w14:paraId="5F71F9D4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├─ 否 → 原T+0决策树</w:t>
      </w:r>
    </w:p>
    <w:p w14:paraId="25CE8F8B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└─ 是</w:t>
      </w:r>
    </w:p>
    <w:p w14:paraId="62495D4D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是否为新建多头仓位？</w:t>
      </w:r>
    </w:p>
    <w:p w14:paraId="1E3AC873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 → 进入T+1风险闸门</w:t>
      </w:r>
    </w:p>
    <w:p w14:paraId="3B743F9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风险报告是否有效、足够新且质量合格？</w:t>
      </w:r>
    </w:p>
    <w:p w14:paraId="1EC16D1F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├─ 否 → 等待/拒绝</w:t>
      </w:r>
    </w:p>
    <w:p w14:paraId="2906BFFE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</w:t>
      </w:r>
    </w:p>
    <w:p w14:paraId="43F8C292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解锁前触发止损概率是否超过阈值？</w:t>
      </w:r>
    </w:p>
    <w:p w14:paraId="400AA3A0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隔夜跳空穿透止损概率是否超过阈值？</w:t>
      </w:r>
    </w:p>
    <w:p w14:paraId="2C9AC5E9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极端损失是否仍在容许范围？</w:t>
      </w:r>
    </w:p>
    <w:p w14:paraId="2DDC3E16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├─ 把T+1额外风险计入交易者方程后是否仍为正期望？</w:t>
      </w:r>
    </w:p>
    <w:p w14:paraId="09B2E707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├─ 否 → 不下单</w:t>
      </w:r>
    </w:p>
    <w:p w14:paraId="5CCCEF9C">
      <w:pPr>
        <w:pStyle w:val="3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│  └─ 是 → 允许生成买入方案</w:t>
      </w:r>
    </w:p>
    <w:p w14:paraId="46421A6B">
      <w:pPr>
        <w:pStyle w:val="3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└─ 同时生成下一交易日起可执行的止损/退出预案</w:t>
      </w:r>
    </w:p>
    <w:p w14:paraId="1A524B6C">
      <w:pPr>
        <w:pStyle w:val="4"/>
        <w:keepNext w:val="0"/>
        <w:keepLines w:val="0"/>
        <w:widowControl/>
        <w:suppressLineNumbers w:val="0"/>
      </w:pPr>
      <w:r>
        <w:t>对于已有持仓，则走另一条分支：</w:t>
      </w:r>
    </w:p>
    <w:p w14:paraId="0103F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检查可卖数量。</w:t>
      </w:r>
    </w:p>
    <w:p w14:paraId="206DB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今日新买部分只能生成未来退出计划。</w:t>
      </w:r>
    </w:p>
    <w:p w14:paraId="76A73A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前一交易日持仓可以生成当前可执行卖出建议。</w:t>
      </w:r>
    </w:p>
    <w:p w14:paraId="2C234E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同一个品种可能同时存在“可卖旧仓”和“不可卖新仓”，不能只用一个布尔值表示是否可卖。</w:t>
      </w:r>
    </w:p>
    <w:p w14:paraId="3E68B8D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118522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B743E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3D43F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FE212B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AA2A83C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37ED7C4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AD238C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DC985E5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8F1AFF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8734EB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A204BE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D186C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360EF6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3D78F4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0432141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95C40E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EB1BFB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A98E56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5D1E89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055FC"/>
    <w:multiLevelType w:val="multilevel"/>
    <w:tmpl w:val="9DA05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4B7B960"/>
    <w:multiLevelType w:val="multilevel"/>
    <w:tmpl w:val="04B7B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63A41B2"/>
    <w:multiLevelType w:val="multilevel"/>
    <w:tmpl w:val="163A4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ED9768D"/>
    <w:multiLevelType w:val="singleLevel"/>
    <w:tmpl w:val="7ED976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D7D98"/>
    <w:rsid w:val="1AD11A1D"/>
    <w:rsid w:val="204818BF"/>
    <w:rsid w:val="416C63D4"/>
    <w:rsid w:val="469E5515"/>
    <w:rsid w:val="4A71599D"/>
    <w:rsid w:val="4A8A55C1"/>
    <w:rsid w:val="4E0A0EF3"/>
    <w:rsid w:val="5CCC77EB"/>
    <w:rsid w:val="5E62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1908</Words>
  <Characters>2577</Characters>
  <Lines>0</Lines>
  <Paragraphs>0</Paragraphs>
  <TotalTime>0</TotalTime>
  <ScaleCrop>false</ScaleCrop>
  <LinksUpToDate>false</LinksUpToDate>
  <CharactersWithSpaces>2829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2026-08-05T06:48:00Z</dcterms:created>
  <dc:creator>bai</dc:creator>
  <cp:lastModifiedBy>Mr.蔡</cp:lastModifiedBy>
  <dcterms:modified xsi:type="dcterms:W3CDTF">2026-08-07T10:19:10Z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eyJoZGlkIjoiMWNiNmVhMmM0ZjJmMDc3MjNlNDI4MmE5ODk3NzZjZTAiLCJ1c2VySWQiOiI2OTk5NDUxMTkifQ==</vt:lpwstr>
  </property>
  <property fmtid="{D5CDD505-2E9C-101B-9397-08002B2CF9AE}" pid="4" name="ICV">
    <vt:lpwstr>1E22187BD14648EAABA5564060767945_12</vt:lpwstr>
  </property>
</Properties>
</file>