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FE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博弈论框架下基于价格行为和主力行为推算的二阶量化交易agent</w:t>
      </w:r>
    </w:p>
    <w:p w14:paraId="30054E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B0DA7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系统架构搭建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</w:t>
      </w:r>
      <w:bookmarkStart w:id="0" w:name="_GoBack"/>
      <w:bookmarkEnd w:id="0"/>
    </w:p>
    <w:p w14:paraId="514F8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是由</w:t>
      </w:r>
      <w:r>
        <w:t>程序编排</w:t>
      </w:r>
      <w:r>
        <w:rPr>
          <w:rFonts w:hint="eastAsia" w:ascii="宋体" w:hAnsi="宋体" w:cs="宋体"/>
          <w:sz w:val="24"/>
          <w:szCs w:val="24"/>
          <w:lang w:val="en-US" w:eastAsia="zh-CN"/>
        </w:rPr>
        <w:t>AI大模型（LLM）驱动的量化分析系统。策略的核心理念是：基于博弈论和情绪周期理论，以霍华德马克思精髓为指导，通过理解其他参与者的行为逻辑，预测他们的策略选择，然后制定自己的最优反应策略，从而在市场博弈中获得信息优势和行为优势。</w:t>
      </w:r>
    </w:p>
    <w:p w14:paraId="3FE8A3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以另一个纯技术面分析决策程序系统作为短线入场依据；二阶博弈提供多情景概率、T+1 独立闸门与情景应对树，作为下单前最后一道判断。</w:t>
      </w:r>
    </w:p>
    <w:p w14:paraId="0BF10B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Calibri" w:hAnsi="Calibri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这个系统给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用户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一个整体方向的“把握”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，通过全天候市场动态捕捉，运用博弈论推演，计算赔率，弥补技术分析系统无法照顾到的市场动态博弈，弥补人性的弱点，</w:t>
      </w:r>
      <w:r>
        <w:rPr>
          <w:rFonts w:hint="eastAsia" w:ascii="Calibri" w:hAnsi="Calibri" w:eastAsia="宋体" w:cs="宋体"/>
          <w:kern w:val="2"/>
          <w:sz w:val="24"/>
          <w:szCs w:val="24"/>
          <w:lang w:val="en-US" w:eastAsia="zh-CN" w:bidi="ar-SA"/>
        </w:rPr>
        <w:t>告诉你什么时候该有信心，什么时候不该有信心。</w:t>
      </w:r>
    </w:p>
    <w:p w14:paraId="2794C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Calibri" w:hAnsi="Calibri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Calibri" w:hAnsi="Calibri" w:eastAsia="宋体" w:cs="宋体"/>
          <w:kern w:val="2"/>
          <w:sz w:val="24"/>
          <w:szCs w:val="24"/>
          <w:lang w:val="en-US" w:eastAsia="zh-CN" w:bidi="ar-SA"/>
        </w:rPr>
        <w:t>霍华德·马克斯提出的二阶思维是短线博弈的重要理念。一阶思维关注形态和技术指标，而二阶思维则考虑到市场参与者的共识和反应。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人的本能感受往往是错误的，</w:t>
      </w:r>
      <w:r>
        <w:rPr>
          <w:rFonts w:hint="eastAsia" w:ascii="Calibri" w:hAnsi="Calibri" w:eastAsia="宋体" w:cs="宋体"/>
          <w:kern w:val="2"/>
          <w:sz w:val="24"/>
          <w:szCs w:val="24"/>
          <w:lang w:val="en-US" w:eastAsia="zh-CN" w:bidi="ar-SA"/>
        </w:rPr>
        <w:t>本系统就是希望成为二阶思维和博弈论的集大成者。</w:t>
      </w:r>
    </w:p>
    <w:p w14:paraId="1C0036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CC8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D244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主要技术路径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：ai系统参考PA agent的</w:t>
      </w:r>
      <w:r>
        <w:t>“程序编排 LLM”的两阶段分析系统：程序决定步骤、数据、提示词和校验；LLM 只负责在既定约束下作判断并输出结构化 JSON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流程是这样的：先发资料和材料，再用提示词要求怎么做判断怎么回答。</w:t>
      </w:r>
    </w:p>
    <w:p w14:paraId="7EC3B2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参考项目的设计文件："C:\Users\bai\Documents\我的文档\股票\PA_Agent6.24（激进但机会多）\README\DESIGN.md"</w:t>
      </w:r>
    </w:p>
    <w:p w14:paraId="0EC3E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hint="eastAsia"/>
          <w:lang w:val="en-US" w:eastAsia="zh-CN"/>
        </w:rPr>
      </w:pPr>
    </w:p>
    <w:p w14:paraId="13DB5BA6">
      <w:pPr>
        <w:pStyle w:val="4"/>
        <w:keepNext w:val="0"/>
        <w:keepLines w:val="0"/>
        <w:widowControl/>
        <w:suppressLineNumbers w:val="0"/>
      </w:pPr>
      <w:r>
        <w:t>核心逻辑</w:t>
      </w:r>
      <w:r>
        <w:rPr>
          <w:rFonts w:hint="eastAsia"/>
          <w:lang w:eastAsia="zh-CN"/>
        </w:rPr>
        <w:t>：</w:t>
      </w:r>
      <w:r>
        <w:t>短线博弈、情绪周期理论</w:t>
      </w:r>
    </w:p>
    <w:p w14:paraId="0A4300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消息面和板块涨跌周期都会影响各板块的情绪，板块情绪会延伸、发酵并保持惯性；全市场不设唯一情绪值。</w:t>
      </w:r>
    </w:p>
    <w:p w14:paraId="7E2333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系统按板块分别维护情绪指数与情绪周期位置，并结合板块轮动、流动性环境和交易环境推断参与者行为。博弈参与者在测量层合并为主力与散户两方；游资、量化和机构均归入主力，国家队不作为参与者，而通过政策环境改变各行为的概率分布。系统据此覆盖不同情景并制定应对，不把单一路径当作确定预测。</w:t>
      </w:r>
    </w:p>
    <w:p w14:paraId="3FEC4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A 类主力行为概率使用手写参数的 HMM 前向滤波：周期转移矩阵 A、大模型观测混淆矩阵 C、周期到行为映射 W 均由配置文件提供，运行时只滤波、不训练马尔可夫链。大模型只输出固定词表内的离散标签，不直接生成概率数字。</w:t>
      </w:r>
    </w:p>
    <w:p w14:paraId="220D1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系统针对午盘（11:30）和收盘（15:00）两个决策点分别覆盖下一时段的可能情景，输出可审计概率、T+1 独立闸门与情景应对树；目标是控制 T+1 风险，而不是承诺高胜率或单一路径预测。</w:t>
      </w:r>
    </w:p>
    <w:p w14:paraId="2523C9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CB1C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分步骤构建</w:t>
      </w:r>
    </w:p>
    <w:p w14:paraId="3D4E03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7E1C0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49A171D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系统全局要求：支持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动态调整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参数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eastAsia="宋体" w:cs="宋体"/>
          <w:sz w:val="24"/>
          <w:szCs w:val="24"/>
        </w:rPr>
        <w:t>需通过配置文件注入支持动态加载阈值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参数、乘数、评分</w:t>
      </w:r>
    </w:p>
    <w:p w14:paraId="1F4E1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8363D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如何接入PA量化系统？</w:t>
      </w:r>
      <w:r>
        <w:rPr>
          <w:rFonts w:hint="eastAsia" w:ascii="宋体" w:hAnsi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>该博弈论项目，作为一个分析模块，命名为二阶博弈，类似浏览器标签的形式，作为子标签页展开模块，该标签栏修改为位于主分析窗口的品种栏目中。二阶博弈分析模块和技术分析模块的联动设计：二者既可以让用户选择独立进行分析，也可以在技术分析模块中开启 T+1 模式自动联动运行二阶博弈模块。具体请参考原型文档："C:\Users\bai\Documents\我的文档\股票\新项目\量化系统项目总文件夹\原型设计\原型设计构思-给墨刀ai画原型图.docx"</w:t>
      </w:r>
    </w:p>
    <w:p w14:paraId="7D8420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6E151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/>
        </w:rPr>
        <w:t>T+0模式和T+1模式的下单处理流程</w:t>
      </w:r>
    </w:p>
    <w:p w14:paraId="5274E1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T+0模式下，自动交易系统仅根据技术分析模块分析的下单决策下单，T+1模式下，自动交易系统根据博弈结果下单。所以T+1 模式下pa的技术分析模块完成阶段 1、阶段 2 之后，就自动启动“二阶博弈”分析。</w:t>
      </w:r>
    </w:p>
    <w:p w14:paraId="4E955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</w:rPr>
      </w:pPr>
    </w:p>
    <w:p w14:paraId="7F0DE8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eastAsia="zh-CN"/>
        </w:rPr>
        <w:t>关于存放提示词路由文件的</w:t>
      </w:r>
      <w:r>
        <w:rPr>
          <w:rFonts w:hint="eastAsia" w:ascii="宋体" w:hAnsi="宋体" w:cs="宋体"/>
          <w:kern w:val="2"/>
          <w:sz w:val="24"/>
          <w:szCs w:val="24"/>
          <w:lang w:val="en-US" w:eastAsia="zh-CN"/>
        </w:rPr>
        <w:t xml:space="preserve"> TXT 文档说明：目前为止完成进度几乎为 0，所有的 TXT 文档都还没有正式开始编写。所以，当你发现我文档中贴的 TXT 文档路径和提示词参考文档是空白的，请不要奇怪：1. 如果已经完成了，那么跳过；2. 如果没有完成或者未完善，请规划好流程，在后续的对话中，完善并完成所有其他的文档。</w:t>
      </w:r>
    </w:p>
    <w:p w14:paraId="46985B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FB404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信号生成系统</w:t>
      </w:r>
    </w:p>
    <w:p w14:paraId="7DD9BD99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信号系统要求：可手动注入链接、文本作为数据进入信号分析流程</w:t>
      </w:r>
    </w:p>
    <w:p w14:paraId="591DDE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 w:bidi="ar"/>
        </w:rPr>
        <w:t>分析的主体单位</w:t>
      </w:r>
    </w:p>
    <w:p w14:paraId="01251B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消息面搜索用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 与个股代码高度相关的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板块名称 作关键词</w:t>
      </w:r>
    </w:p>
    <w:p w14:paraId="636C1FC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板块情绪指数是单个板块的连续数值（0-100，基准 50），每个在册板块独立计算并维护惯性；全市场只做情绪广度聚合，不另设唯一的市场情绪指数。</w:t>
      </w:r>
    </w:p>
    <w:p w14:paraId="1C8F5C0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博弈信号（羊群/流动性陷阱/机构资金流/纳什均衡）是 个股 级别的计算</w:t>
      </w:r>
    </w:p>
    <w:p w14:paraId="0B3602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假设验证是离线评估流程：用历史上概率最大决策的实际结果对比预测，计算校准度并回测板块走势，产出系统级打分与原因说明。</w:t>
      </w:r>
    </w:p>
    <w:p w14:paraId="6A29D5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T+1 联动决策针对 个股</w:t>
      </w:r>
    </w:p>
    <w:p w14:paraId="067D1821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591F1E7B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数据获取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资讯搜索和行情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futu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API 接口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免费齐全快速，详见futu API文档"C:\Users\bai\Documents\我的文档\股票\新项目\富途API接口\Futu-API-Doc-zh-Python.md"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get_search_news(keyword, max_count=10, news_sub_type=NewsSubType.ALL)</w:t>
      </w:r>
    </w:p>
    <w:p w14:paraId="481C7D73">
      <w:pPr>
        <w:pStyle w:val="4"/>
        <w:keepNext w:val="0"/>
        <w:keepLines w:val="0"/>
        <w:widowControl/>
        <w:suppressLineNumbers w:val="0"/>
        <w:shd w:val="clear" w:fill="FFFFFF"/>
        <w:spacing w:line="13" w:lineRule="atLeast"/>
        <w:ind w:left="0" w:firstLine="0"/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需要全网搜索更全面的消息，或者富途无法提供的一些网站的消息则降级使用这个tavily API：Https://app.tavily.com/home</w:t>
      </w:r>
    </w:p>
    <w:p w14:paraId="1CCA8C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1，消息面数据处理流程</w:t>
      </w:r>
      <w:r>
        <w:rPr>
          <w:rFonts w:hint="eastAsia" w:ascii="宋体" w:hAnsi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>第一步，以系统“板块列表”中录入的板块名称作为搜索词，搜索资讯并返回标题、发布时间、详情。结果由后台任务持续写入当日“分析材料缓存”，决策时直接读取；分析流水线内部以字符串/字典驻留内存并实时 json.loads 解析，不存在“写文件 → 读文件”的中转。收盘后一次性归档，次日重建。AI 先判断标题信息是否有用，无用则更换关键词继续搜索，再获取详情并按下述层级整理。资讯情绪评分为 -1.0 至 +1.0，供程序计算板块情绪指数；LLM 只做受约束的抽取、离散判断和解释，不生成博弈概率。</w:t>
      </w:r>
    </w:p>
    <w:p w14:paraId="4C041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2B6A3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信息点分层：</w:t>
      </w:r>
    </w:p>
    <w:tbl>
      <w:tblPr>
        <w:tblStyle w:val="5"/>
        <w:tblW w:w="0" w:type="auto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3054"/>
        <w:gridCol w:w="4392"/>
      </w:tblGrid>
      <w:tr w14:paraId="4FB9DE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B9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层级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FB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信息点分类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CE7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说明与示例</w:t>
            </w:r>
          </w:p>
        </w:tc>
      </w:tr>
      <w:tr w14:paraId="532CC6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D9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元信息层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66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发布时间 (publish_time)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2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精确到毫秒的时间戳，用于评估信息传播时滞。</w:t>
            </w:r>
          </w:p>
        </w:tc>
      </w:tr>
      <w:tr w14:paraId="2ACB8D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AD4E6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F0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信息来源/权重 (source)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31C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研报、公告、主流媒体、自媒体（不同来源权重不同）。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以 1.0 为基准，根据来源 AI 打分，判断规则：正向的：加 1、负向的：减 1。</w:t>
            </w:r>
          </w:p>
        </w:tc>
      </w:tr>
      <w:tr w14:paraId="4EA5AA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B4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实体与映射层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24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核心标的 (tickers)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629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映射的具体股票代码（如 000001.SZ）。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如果该信息页没有，则记录空白</w:t>
            </w:r>
          </w:p>
        </w:tc>
      </w:tr>
      <w:tr w14:paraId="2E42A5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A0ADB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5F1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关联板块/行业 (industries/concepts)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5C9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行业分类及概念标签（如 AI服务器）。</w:t>
            </w:r>
          </w:p>
        </w:tc>
      </w:tr>
      <w:tr w14:paraId="26C399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7190D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346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关联主体 (entities)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A25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相关高管、机构、供应商、竞争对手等。</w:t>
            </w:r>
          </w:p>
        </w:tc>
      </w:tr>
      <w:tr w14:paraId="182DC0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BB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事件结构化层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3FF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事件类型 (event_type)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FB9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标准化的事件字典（如：业绩预告、高管变动、产品提价、监管处罚）。</w:t>
            </w:r>
          </w:p>
        </w:tc>
      </w:tr>
      <w:tr w14:paraId="793714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8E81A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E7C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动作/触发词 (action)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C87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事件的核心动作（如：增持、中标、立案调查）。</w:t>
            </w:r>
          </w:p>
        </w:tc>
      </w:tr>
      <w:tr w14:paraId="273A27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89904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004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数据与数值 (metrics &amp; values)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5B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结构化成对的数据（如：净利润同比增幅: 150%、中标金额: 2.5亿）。</w:t>
            </w:r>
          </w:p>
        </w:tc>
      </w:tr>
      <w:tr w14:paraId="0CB08E9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26D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因子与信号层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4D3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情绪极性与得分 (sentiment)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5DE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看多/看空/中性，以及 -1.0 至 +1.0 的量化打分。</w:t>
            </w:r>
          </w:p>
        </w:tc>
      </w:tr>
      <w:tr w14:paraId="4692BA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125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（关键层）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353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影响时效 (impact_duration)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8AA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Chars="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超短期（高频/日内）、短期（1-3天）、中长期（波段）。</w:t>
            </w:r>
          </w:p>
        </w:tc>
      </w:tr>
      <w:tr w14:paraId="2842A1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B7A3F">
            <w:pP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B5B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置信度 (confidence)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F9A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9" w:lineRule="atLeast"/>
              <w:ind w:left="0" w:right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用专门提示词让AI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大模型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得出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的准确率置信度。</w:t>
            </w:r>
          </w:p>
        </w:tc>
      </w:tr>
    </w:tbl>
    <w:p w14:paraId="4BBDCF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BA0A0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3AD90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第二步，让ai思考消息事件背后的主体的“主体目的”。</w:t>
      </w:r>
    </w:p>
    <w:p w14:paraId="235E0E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上市公司发这个消息，是想吸引资金入场，还是借机让大股东减持；主力资金会借这个消息吸筹还是出货；散户会跟风买入还是卖出。</w:t>
      </w:r>
    </w:p>
    <w:p w14:paraId="1FA6D9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最后，将“事件总结和主体目的”存入“分析材料缓存”。</w:t>
      </w:r>
    </w:p>
    <w:p w14:paraId="00FBDD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</w:pPr>
    </w:p>
    <w:p w14:paraId="0128D0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</w:pPr>
    </w:p>
    <w:p w14:paraId="1F2FFF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</w:pPr>
    </w:p>
    <w:p w14:paraId="33E11B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default" w:ascii="宋体" w:hAnsi="宋体" w:cs="宋体"/>
          <w:kern w:val="2"/>
          <w:sz w:val="24"/>
          <w:szCs w:val="24"/>
          <w:lang w:val="en-US" w:eastAsia="zh-CN" w:bidi="ar"/>
        </w:rPr>
      </w:pPr>
    </w:p>
    <w:p w14:paraId="2593CF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eastAsia="宋体" w:cs="宋体"/>
          <w:b w:val="0"/>
          <w:color w:val="222222"/>
          <w:sz w:val="21"/>
          <w:szCs w:val="21"/>
        </w:rPr>
      </w:pPr>
    </w:p>
    <w:p w14:paraId="3B443A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2，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量化市场行情：</w:t>
      </w:r>
    </w:p>
    <w:p w14:paraId="056E1C06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00" w:lineRule="exact"/>
        <w:ind w:left="210" w:leftChars="100" w:right="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直接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套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用DSA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程序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的大盘分析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模块，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提取：结构化大盘数据+盘面+指数+板块。</w:t>
      </w:r>
    </w:p>
    <w:p w14:paraId="1C905F0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00" w:lineRule="exact"/>
        <w:ind w:left="210" w:leftChars="100" w:right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"/>
        </w:rPr>
        <w:t>规范提示词让 AI 阅读后得到下列市场层行情字段，并写入当日“分析材料缓存”，供后续决策读取。</w:t>
      </w:r>
    </w:p>
    <w:p w14:paraId="37CB65BE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/>
        <w:spacing w:before="0" w:beforeAutospacing="0" w:after="0" w:afterAutospacing="0" w:line="500" w:lineRule="exact"/>
        <w:ind w:left="425" w:leftChars="0" w:right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流动性环境：市场整体钱多钱少、增量还是存量、机构仓位高低</w:t>
      </w:r>
    </w:p>
    <w:p w14:paraId="54028A0A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/>
        <w:spacing w:before="0" w:beforeAutospacing="0" w:after="0" w:afterAutospacing="0" w:line="500" w:lineRule="exact"/>
        <w:ind w:left="425" w:leftChars="0" w:right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交易环境：板块轮动节奏、风格偏好、资金抱团方向</w:t>
      </w:r>
    </w:p>
    <w:p w14:paraId="6BA716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最后，将行情总结存入“分析材料缓存”。</w:t>
      </w:r>
    </w:p>
    <w:p w14:paraId="25564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6E1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2B68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1733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80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3，板块情绪指数与情绪周期位置</w:t>
      </w:r>
    </w:p>
    <w:p w14:paraId="08E04B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180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情绪面、消息面、市场行情基本面之间的关联影响：</w:t>
      </w:r>
    </w:p>
    <w:p w14:paraId="73FAD2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0" w:lineRule="atLeast"/>
        <w:ind w:left="635" w:leftChars="100" w:right="0" w:rightChars="0" w:hanging="425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板块情绪指数以该板块昨日台账值为基准，结合基本面、消息面、大盘与板块行情加减；基准值为 50，取值范围 0-100。情绪台账按板块跨交易日持久化。</w:t>
      </w:r>
    </w:p>
    <w:p w14:paraId="0628EA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0" w:lineRule="atLeast"/>
        <w:ind w:left="635" w:leftChars="100" w:right="0" w:rightChars="0" w:hanging="425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消息面向好还是向坏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有一定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程度上关联基本面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，有时非决定性</w:t>
      </w:r>
    </w:p>
    <w:p w14:paraId="12CF8B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180" w:lineRule="atLeast"/>
        <w:ind w:left="635" w:leftChars="100" w:right="0" w:rightChars="0" w:hanging="425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市场行情走势和消息面会很大程度影响情绪面，决定性</w:t>
      </w:r>
    </w:p>
    <w:p w14:paraId="5FEBC77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主观心理 / 集体预期，只能观察程度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再量化</w:t>
      </w:r>
    </w:p>
    <w:p w14:paraId="53F786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消息面和情绪面的区别和内在联系：</w:t>
      </w:r>
    </w:p>
    <w:p w14:paraId="11139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810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消息 </w:t>
      </w:r>
      <w:r>
        <w:rPr>
          <w:rFonts w:hint="eastAsia" w:ascii="宋体" w:hAnsi="宋体" w:eastAsia="宋体" w:cs="宋体"/>
          <w:sz w:val="24"/>
          <w:szCs w:val="24"/>
        </w:rPr>
        <w:t>有明确的发布 / 落地时间，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统计产生的影响量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4BDA47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情绪具有惯性：板块今日指数以昨日台账值为基准增减，不因单条消息或单日适度回调而反转。情绪指数是连续量；情绪周期位置是离散判断，两者是独立字段，不能用指数阈值机械映射周期位置。</w:t>
      </w:r>
    </w:p>
    <w:p w14:paraId="1FBA4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258F26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情绪周期位置固定为五档：冰点、启动、发酵、高潮、退潮。分歧不是周期位置，而是与五档正交的板块共识状态；侥幸不是档位，而是“退潮期 + 散户未离场”的行为特征。平台整理、二次启动、加速、高位兑现、破位转弱记录为正交的情绪周期事件，不扩充五档状态空间。</w:t>
      </w:r>
    </w:p>
    <w:p w14:paraId="26D15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C7D9B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更重要的进一步：由结构化提示词约束 AI 判断板块当前的情绪周期位置；该判断作为噪声观测，经混淆矩阵折算为 HMM 隐状态证据，不被直接采信。</w:t>
      </w:r>
    </w:p>
    <w:p w14:paraId="4CE0F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将各板块情绪指数、情绪周期位置、板块共识状态、板块一致方向和情绪周期事件写入情绪台账及当日“分析材料缓存”。</w:t>
      </w:r>
    </w:p>
    <w:p w14:paraId="4F181C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F11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0CE60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生成个股博弈论信号</w:t>
      </w:r>
    </w:p>
    <w:p w14:paraId="40A60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按照文档：基于交易心理学的博弈论量化交易策略设计参考-文章</w:t>
      </w:r>
    </w:p>
    <w:p w14:paraId="3F27B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5F478F7">
      <w:pPr>
        <w:spacing w:before="0" w:after="40" w:line="259" w:lineRule="auto"/>
      </w:pPr>
      <w:r>
        <w:rPr>
          <w:rFonts w:hint="eastAsia" w:ascii="宋体" w:hAnsi="宋体" w:cs="宋体"/>
          <w:sz w:val="24"/>
          <w:szCs w:val="24"/>
          <w:lang w:val="en-US" w:eastAsia="zh-CN"/>
        </w:rPr>
        <w:t>信号绘制在K线图表中</w:t>
      </w:r>
      <w:r>
        <w:rPr>
          <w:rFonts w:ascii="宋体" w:hAnsi="宋体" w:eastAsia="宋体"/>
          <w:b w:val="0"/>
          <w:color w:val="222222"/>
          <w:sz w:val="21"/>
        </w:rPr>
        <w:t>可视化系统精妙地展现了市场博弈的多层次结构。</w:t>
      </w:r>
    </w:p>
    <w:p w14:paraId="60480CA8">
      <w:pPr>
        <w:pStyle w:val="3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纳什均衡带</w:t>
      </w:r>
      <w:r>
        <w:rPr>
          <w:rFonts w:ascii="宋体" w:hAnsi="宋体" w:eastAsia="宋体"/>
          <w:b w:val="0"/>
          <w:color w:val="222222"/>
          <w:sz w:val="21"/>
        </w:rPr>
        <w:t>：让交易者能够直观看到市场的理论均衡区间，这是所有参与者博弈的核心锚点。</w:t>
      </w:r>
    </w:p>
    <w:p w14:paraId="58431FF9">
      <w:pPr>
        <w:pStyle w:val="3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背景色系统</w:t>
      </w:r>
      <w:r>
        <w:rPr>
          <w:rFonts w:ascii="宋体" w:hAnsi="宋体" w:eastAsia="宋体"/>
          <w:b w:val="0"/>
          <w:color w:val="222222"/>
          <w:sz w:val="21"/>
        </w:rPr>
        <w:t>：通过颜色编码不同的博弈状态——红色警示羊群买入的危险信号，绿色提示羊群卖出机会，蓝色标识机构资金活跃期，提醒关注聪明钱的动向信号。</w:t>
      </w:r>
    </w:p>
    <w:p w14:paraId="367D7078">
      <w:pPr>
        <w:pStyle w:val="3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标记系统</w:t>
      </w:r>
      <w:r>
        <w:rPr>
          <w:rFonts w:ascii="宋体" w:hAnsi="宋体" w:eastAsia="宋体"/>
          <w:b w:val="0"/>
          <w:color w:val="222222"/>
          <w:sz w:val="21"/>
        </w:rPr>
        <w:t>：清晰标识不同的博弈机会——三角形标记逆势博弈的关键时点，十字标记流动性博弈的陷阱位置。</w:t>
      </w:r>
    </w:p>
    <w:p w14:paraId="08D6E2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502C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240" w:lineRule="auto"/>
        <w:textAlignment w:val="auto"/>
        <w:rPr>
          <w:rFonts w:ascii="微软雅黑" w:hAnsi="微软雅黑" w:eastAsia="微软雅黑"/>
          <w:b/>
          <w:color w:val="2E4A6B"/>
          <w:sz w:val="23"/>
        </w:rPr>
      </w:pPr>
      <w:r>
        <w:rPr>
          <w:rFonts w:ascii="微软雅黑" w:hAnsi="微软雅黑" w:eastAsia="微软雅黑"/>
          <w:b/>
          <w:color w:val="2E4A6B"/>
          <w:sz w:val="23"/>
        </w:rPr>
        <w:t>逆势信号——反向博弈核心</w:t>
      </w:r>
    </w:p>
    <w:p w14:paraId="57FAE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contrarian buy =herd selling and(accumulation or liquidity_trap_down)//逆势买入信号</w:t>
      </w:r>
    </w:p>
    <w:p w14:paraId="33E93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contrarian sell = herd buying and(distribution or liquidity trap up)//逆势卖出信号</w:t>
      </w:r>
    </w:p>
    <w:p w14:paraId="3300F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</w:p>
    <w:p w14:paraId="1540A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当检测到</w:t>
      </w:r>
      <w:r>
        <w:rPr>
          <w:rFonts w:ascii="宋体" w:hAnsi="宋体" w:eastAsia="宋体"/>
          <w:b w:val="0"/>
          <w:color w:val="222222"/>
          <w:sz w:val="21"/>
          <w:u w:val="single"/>
        </w:rPr>
        <w:t>羊群</w:t>
      </w:r>
      <w:r>
        <w:rPr>
          <w:rFonts w:ascii="宋体" w:hAnsi="宋体" w:eastAsia="宋体"/>
          <w:b w:val="0"/>
          <w:color w:val="222222"/>
          <w:sz w:val="21"/>
        </w:rPr>
        <w:t>恐慌性卖出，同时发现</w:t>
      </w:r>
      <w:r>
        <w:rPr>
          <w:rFonts w:ascii="宋体" w:hAnsi="宋体" w:eastAsia="宋体"/>
          <w:b w:val="0"/>
          <w:color w:val="222222"/>
          <w:sz w:val="21"/>
          <w:u w:val="single"/>
        </w:rPr>
        <w:t>机构</w:t>
      </w:r>
      <w:r>
        <w:rPr>
          <w:rFonts w:ascii="宋体" w:hAnsi="宋体" w:eastAsia="宋体"/>
          <w:b w:val="0"/>
          <w:color w:val="222222"/>
          <w:sz w:val="21"/>
        </w:rPr>
        <w:t>在积累或下方出现流动性陷阱时，构成经典的博弈机会：大众恐慌抛售，专业资金低位吸筹，这种信息不对称正是获利源泉。反之，当羊群追涨买入，而机构派发或上方流动性陷阱出现时，逆势做空能在情绪反转中获得超额收益。</w:t>
      </w:r>
    </w:p>
    <w:p w14:paraId="74F83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宋体" w:hAnsi="宋体" w:eastAsia="宋体"/>
          <w:b w:val="0"/>
          <w:color w:val="222222"/>
          <w:sz w:val="21"/>
        </w:rPr>
      </w:pPr>
    </w:p>
    <w:p w14:paraId="7269F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240" w:lineRule="auto"/>
        <w:textAlignment w:val="auto"/>
      </w:pPr>
      <w:r>
        <w:rPr>
          <w:rFonts w:ascii="微软雅黑" w:hAnsi="微软雅黑" w:eastAsia="微软雅黑"/>
          <w:b/>
          <w:color w:val="2E4A6B"/>
          <w:sz w:val="23"/>
        </w:rPr>
        <w:t>动量信号——跟随强者的博弈智慧</w:t>
      </w:r>
    </w:p>
    <w:p w14:paraId="367C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momentum buy = below nash and smart money positive and not herd buying//</w:t>
      </w:r>
      <w:r>
        <w:rPr>
          <w:rFonts w:hint="eastAsia"/>
          <w:b w:val="0"/>
          <w:color w:val="222222"/>
          <w:sz w:val="21"/>
          <w:lang w:val="en-US" w:eastAsia="zh-CN"/>
        </w:rPr>
        <w:t>动</w:t>
      </w:r>
      <w:r>
        <w:rPr>
          <w:rFonts w:hint="eastAsia" w:ascii="宋体" w:hAnsi="宋体" w:eastAsia="宋体"/>
          <w:b w:val="0"/>
          <w:color w:val="222222"/>
          <w:sz w:val="21"/>
        </w:rPr>
        <w:t>量买入信号</w:t>
      </w:r>
    </w:p>
    <w:p w14:paraId="60DDC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momentum sell - above nash and not smart money positive and not herd selling//</w:t>
      </w:r>
      <w:r>
        <w:rPr>
          <w:rFonts w:hint="eastAsia"/>
          <w:b w:val="0"/>
          <w:color w:val="222222"/>
          <w:sz w:val="21"/>
          <w:lang w:val="en-US" w:eastAsia="zh-CN"/>
        </w:rPr>
        <w:t>动</w:t>
      </w:r>
      <w:r>
        <w:rPr>
          <w:rFonts w:hint="eastAsia" w:ascii="宋体" w:hAnsi="宋体" w:eastAsia="宋体"/>
          <w:b w:val="0"/>
          <w:color w:val="222222"/>
          <w:sz w:val="21"/>
        </w:rPr>
        <w:t>量卖</w:t>
      </w:r>
      <w:r>
        <w:rPr>
          <w:rFonts w:hint="eastAsia"/>
          <w:b w:val="0"/>
          <w:color w:val="222222"/>
          <w:sz w:val="21"/>
          <w:lang w:val="en-US" w:eastAsia="zh-CN"/>
        </w:rPr>
        <w:t>出</w:t>
      </w:r>
      <w:r>
        <w:rPr>
          <w:rFonts w:hint="eastAsia" w:ascii="宋体" w:hAnsi="宋体" w:eastAsia="宋体"/>
          <w:b w:val="0"/>
          <w:color w:val="222222"/>
          <w:sz w:val="21"/>
        </w:rPr>
        <w:t>信号</w:t>
      </w:r>
    </w:p>
    <w:p w14:paraId="6107F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</w:p>
    <w:p w14:paraId="5DF0E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当价格低于</w:t>
      </w:r>
      <w:r>
        <w:rPr>
          <w:rFonts w:ascii="宋体" w:hAnsi="宋体" w:eastAsia="宋体"/>
          <w:b w:val="0"/>
          <w:color w:val="222222"/>
          <w:sz w:val="21"/>
          <w:u w:val="single"/>
        </w:rPr>
        <w:t>纳什均衡</w:t>
      </w:r>
      <w:r>
        <w:rPr>
          <w:rFonts w:ascii="宋体" w:hAnsi="宋体" w:eastAsia="宋体"/>
          <w:b w:val="0"/>
          <w:color w:val="222222"/>
          <w:sz w:val="21"/>
        </w:rPr>
        <w:t>且</w:t>
      </w:r>
      <w:r>
        <w:rPr>
          <w:rFonts w:ascii="宋体" w:hAnsi="宋体" w:eastAsia="宋体"/>
          <w:b w:val="0"/>
          <w:color w:val="222222"/>
          <w:sz w:val="21"/>
          <w:u w:val="single"/>
        </w:rPr>
        <w:t>聪明钱</w:t>
      </w:r>
      <w:r>
        <w:rPr>
          <w:rFonts w:ascii="宋体" w:hAnsi="宋体" w:eastAsia="宋体"/>
          <w:b w:val="0"/>
          <w:color w:val="222222"/>
          <w:sz w:val="21"/>
        </w:rPr>
        <w:t>指标转正，同时无</w:t>
      </w:r>
      <w:r>
        <w:rPr>
          <w:rFonts w:ascii="宋体" w:hAnsi="宋体" w:eastAsia="宋体"/>
          <w:b w:val="0"/>
          <w:color w:val="222222"/>
          <w:sz w:val="21"/>
          <w:u w:val="single"/>
        </w:rPr>
        <w:t>羊群</w:t>
      </w:r>
      <w:r>
        <w:rPr>
          <w:rFonts w:ascii="宋体" w:hAnsi="宋体" w:eastAsia="宋体"/>
          <w:b w:val="0"/>
          <w:color w:val="222222"/>
          <w:sz w:val="21"/>
        </w:rPr>
        <w:t>买入时，说明</w:t>
      </w:r>
      <w:r>
        <w:rPr>
          <w:rFonts w:ascii="宋体" w:hAnsi="宋体" w:eastAsia="宋体"/>
          <w:b w:val="0"/>
          <w:color w:val="222222"/>
          <w:sz w:val="21"/>
          <w:u w:val="single"/>
        </w:rPr>
        <w:t>专业资金</w:t>
      </w:r>
      <w:r>
        <w:rPr>
          <w:rFonts w:ascii="宋体" w:hAnsi="宋体" w:eastAsia="宋体"/>
          <w:b w:val="0"/>
          <w:color w:val="222222"/>
          <w:sz w:val="21"/>
        </w:rPr>
        <w:t>正在布局而大众尚未察觉，跟随聪明钱方向能在信息传递之中获益。相应地，价格高于均衡且聪明钱转负时做空，抢占趋势确立前的先机。这反映了博弈论中的信息级联效应：拥有更好信息的参与者先行动，其他参与者随后跟随。</w:t>
      </w:r>
    </w:p>
    <w:p w14:paraId="734D8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宋体" w:hAnsi="宋体" w:eastAsia="宋体"/>
          <w:b w:val="0"/>
          <w:color w:val="222222"/>
          <w:sz w:val="21"/>
        </w:rPr>
      </w:pPr>
    </w:p>
    <w:p w14:paraId="2827E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240" w:lineRule="auto"/>
        <w:textAlignment w:val="auto"/>
        <w:rPr>
          <w:rFonts w:hint="default" w:ascii="微软雅黑" w:hAnsi="微软雅黑" w:eastAsia="微软雅黑"/>
          <w:b/>
          <w:color w:val="2E4A6B"/>
          <w:sz w:val="23"/>
          <w:lang w:val="en-US" w:eastAsia="zh-CN"/>
        </w:rPr>
      </w:pPr>
      <w:r>
        <w:rPr>
          <w:rFonts w:ascii="微软雅黑" w:hAnsi="微软雅黑" w:eastAsia="微软雅黑"/>
          <w:b/>
          <w:color w:val="2E4A6B"/>
          <w:sz w:val="23"/>
        </w:rPr>
        <w:t>纳什均衡回归信号</w:t>
      </w:r>
      <w:r>
        <w:rPr>
          <w:rFonts w:hint="eastAsia" w:ascii="微软雅黑" w:hAnsi="微软雅黑" w:eastAsia="微软雅黑"/>
          <w:b/>
          <w:color w:val="2E4A6B"/>
          <w:sz w:val="23"/>
          <w:lang w:eastAsia="zh-CN"/>
        </w:rPr>
        <w:t>（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个人思考 关联霍华德</w:t>
      </w:r>
      <w:r>
        <w:rPr>
          <w:rFonts w:ascii="宋体" w:hAnsi="宋体" w:eastAsia="宋体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第二层思维</w:t>
      </w:r>
      <w:r>
        <w:rPr>
          <w:rFonts w:hint="eastAsia" w:cs="宋体"/>
          <w:b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）</w:t>
      </w:r>
    </w:p>
    <w:p w14:paraId="30F94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nash reversion buy = below nash and close &gt; close[1] and volume &gt; volume ma//回归买入信号</w:t>
      </w:r>
    </w:p>
    <w:p w14:paraId="47ED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nash reversion sell = above nash and close &lt; close[1] and volume &gt; volume ma//均衡回卖出信号</w:t>
      </w:r>
    </w:p>
    <w:p w14:paraId="7909B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eastAsia" w:ascii="宋体" w:hAnsi="宋体" w:eastAsia="宋体"/>
          <w:b w:val="0"/>
          <w:color w:val="222222"/>
          <w:sz w:val="21"/>
        </w:rPr>
      </w:pPr>
    </w:p>
    <w:p w14:paraId="0F1E8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</w:pPr>
      <w:r>
        <w:rPr>
          <w:rFonts w:ascii="宋体" w:hAnsi="宋体" w:eastAsia="宋体"/>
          <w:b w:val="0"/>
          <w:color w:val="222222"/>
          <w:sz w:val="21"/>
        </w:rPr>
        <w:t>基于博弈论核心假设：所有理性参与者都会推动价格</w:t>
      </w:r>
      <w:r>
        <w:rPr>
          <w:rFonts w:ascii="宋体" w:hAnsi="宋体" w:eastAsia="宋体"/>
          <w:b w:val="0"/>
          <w:color w:val="222222"/>
          <w:sz w:val="21"/>
          <w:u w:val="single"/>
        </w:rPr>
        <w:t>向均衡收敛</w:t>
      </w:r>
      <w:r>
        <w:rPr>
          <w:rFonts w:ascii="宋体" w:hAnsi="宋体" w:eastAsia="宋体"/>
          <w:b w:val="0"/>
          <w:color w:val="222222"/>
          <w:sz w:val="21"/>
        </w:rPr>
        <w:t>。当价格严重偏离均衡区间时，各方都有套利动机，集体行为自然形成价格回归动力——无论是下方偏离后的买入回归，还是上方偏离后的卖出修正。</w:t>
      </w:r>
    </w:p>
    <w:p w14:paraId="6EA74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272CB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240" w:lineRule="auto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将程序计算的逆势信号、动量信号、纳什均衡回归信号作为观测特征写入“分析材料缓存”。这些信号不直接等同于交易动作，也不输出仓位。</w:t>
      </w:r>
    </w:p>
    <w:p w14:paraId="175A5EF7">
      <w:pPr>
        <w:spacing w:before="100" w:after="40" w:line="259" w:lineRule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966532D">
      <w:pPr>
        <w:spacing w:before="100" w:after="40" w:line="259" w:lineRule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3803C17">
      <w:pPr>
        <w:numPr>
          <w:ilvl w:val="0"/>
          <w:numId w:val="8"/>
        </w:numPr>
        <w:spacing w:before="100" w:after="40" w:line="259" w:lineRule="auto"/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政策环境感知引擎</w:t>
      </w:r>
    </w:p>
    <w:p w14:paraId="3CA55414">
      <w:pPr>
        <w:keepNext w:val="0"/>
        <w:keepLines w:val="0"/>
        <w:widowControl w:val="0"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500" w:lineRule="exact"/>
        <w:ind w:leftChars="0" w:right="0" w:rightChars="0"/>
        <w:jc w:val="both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输出政策环境状态，选择对应的 policy_multipliers 作为推演条件。政策环境不重置状态、不改变推演结构，只改变各行为的概率分布。</w:t>
      </w:r>
    </w:p>
    <w:p w14:paraId="0852409B">
      <w:pPr>
        <w:keepNext w:val="0"/>
        <w:keepLines w:val="0"/>
        <w:widowControl w:val="0"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500" w:lineRule="exact"/>
        <w:ind w:leftChars="0" w:right="0" w:rightChars="0"/>
        <w:jc w:val="both"/>
        <w:rPr>
          <w:rFonts w:hint="default" w:ascii="宋体" w:hAnsi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/>
        </w:rPr>
        <w:t>硬信号来源：沪深300/上证50 ETF异常放量（汇金惯用通道），国家队托底信号</w:t>
      </w:r>
      <w:r>
        <w:rPr>
          <w:rFonts w:hint="eastAsia" w:ascii="Consolas" w:hAnsi="Consolas" w:cs="Consolas"/>
          <w:b w:val="0"/>
          <w:i w:val="0"/>
          <w:iCs/>
          <w:caps w:val="0"/>
          <w:strike w:val="0"/>
          <w:color w:val="auto"/>
          <w:spacing w:val="0"/>
          <w:sz w:val="24"/>
          <w:szCs w:val="21"/>
          <w:u w:val="none"/>
          <w:lang w:val="en-US" w:eastAsia="zh-CN"/>
        </w:rPr>
        <w:t>或者</w:t>
      </w:r>
      <w:r>
        <w:rPr>
          <w:rStyle w:val="9"/>
          <w:rFonts w:hint="eastAsia" w:ascii="Consolas" w:hAnsi="Consolas" w:cs="Consolas"/>
          <w:b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  <w:lang w:val="en-US" w:eastAsia="zh-CN"/>
        </w:rPr>
        <w:t>政策指导助力龙头信号</w:t>
      </w:r>
      <w:r>
        <w:rPr>
          <w:rFonts w:hint="eastAsia" w:ascii="宋体" w:hAnsi="宋体" w:cs="宋体"/>
          <w:kern w:val="2"/>
          <w:sz w:val="24"/>
          <w:szCs w:val="24"/>
          <w:lang w:val="en-US" w:eastAsia="zh-CN"/>
        </w:rPr>
        <w:t>。</w:t>
      </w:r>
    </w:p>
    <w:p w14:paraId="29567C8D">
      <w:pPr>
        <w:keepNext w:val="0"/>
        <w:keepLines w:val="0"/>
        <w:widowControl w:val="0"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500" w:lineRule="exact"/>
        <w:ind w:leftChars="0" w:right="0" w:rightChars="0"/>
        <w:jc w:val="both"/>
        <w:rPr>
          <w:rFonts w:hint="eastAsia" w:ascii="宋体" w:hAnsi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/>
        </w:rPr>
        <w:t>软信号来源：搜索中顺带到的消息新闻，固定搜索词：头条/头版，如果没有，需要用户注入消息材料才会分析，否则关闭该流程的分析闸门。</w:t>
      </w:r>
    </w:p>
    <w:p w14:paraId="13C2D093">
      <w:pPr>
        <w:keepNext w:val="0"/>
        <w:keepLines w:val="0"/>
        <w:widowControl w:val="0"/>
        <w:numPr>
          <w:ilvl w:val="0"/>
          <w:numId w:val="0"/>
        </w:numPr>
        <w:suppressLineNumbers w:val="0"/>
        <w:autoSpaceDE w:val="0"/>
        <w:autoSpaceDN/>
        <w:spacing w:before="0" w:beforeAutospacing="0" w:after="0" w:afterAutospacing="0" w:line="500" w:lineRule="exact"/>
        <w:ind w:leftChars="0" w:right="0" w:rightChars="0"/>
        <w:jc w:val="both"/>
        <w:rPr>
          <w:rFonts w:hint="default" w:ascii="宋体" w:hAnsi="宋体" w:cs="宋体"/>
          <w:kern w:val="2"/>
          <w:sz w:val="24"/>
          <w:szCs w:val="24"/>
          <w:lang w:val="en-US" w:eastAsia="zh-CN"/>
        </w:rPr>
      </w:pPr>
    </w:p>
    <w:p w14:paraId="17546788">
      <w:pPr>
        <w:numPr>
          <w:ilvl w:val="0"/>
          <w:numId w:val="0"/>
        </w:numPr>
        <w:spacing w:before="100" w:after="40" w:line="259" w:lineRule="auto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388120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5985D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BB6DC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1DB6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B77F0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60A0F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8CB29B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博弈论推演主力与散户两方可能行为——博弈推演环节</w:t>
      </w:r>
    </w:p>
    <w:p w14:paraId="1DD14C7C"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调用“分析材料缓存”的大盘行情、个股博弈论信号、事件点、主体目的，把这些全部作为信息点，用脚本给ai提示词分步骤推演。</w:t>
      </w:r>
    </w:p>
    <w:p w14:paraId="64A271E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博弈环节的每一步都注入人设和分析框架提示词，我目前还没有编好，可以参考pa项目的"C:\Users\bai\Documents\我的文档\股票\PA_Agent6.24（激进但机会多）\PA_Agent\prompt_engineering\提示词大纲_人设与思维方式.txt"。</w:t>
      </w:r>
    </w:p>
    <w:p w14:paraId="1A4E22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目前这个步骤还需要补充完善一个小闭环。</w:t>
      </w:r>
    </w:p>
    <w:p w14:paraId="2A97CF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这一个步骤的核心参考文档："C:\Users\bai\Documents\我的文档\股票\新项目\量化系统项目总文件夹\博弈分析环节\博弈论ai推演环节设计指导\用博弈论推演行为炒股.docx"</w:t>
      </w:r>
    </w:p>
    <w:p w14:paraId="587167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它提供与主力博弈的底层逻辑、经典模型、序贯推演法和应对方法，是产出推演结果与情景应对树的核心参考。</w:t>
      </w:r>
    </w:p>
    <w:p w14:paraId="0726BF0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1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次</w:t>
      </w:r>
      <w:r>
        <w:rPr>
          <w:rFonts w:hint="eastAsia" w:ascii="宋体" w:hAnsi="宋体" w:cs="宋体"/>
          <w:sz w:val="24"/>
          <w:szCs w:val="24"/>
          <w:lang w:eastAsia="zh-CN"/>
        </w:rPr>
        <w:t>核心参考文章：霍华德马克思思想精华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中的二阶思维、钟摆理论、周期至上</w:t>
      </w:r>
      <w:r>
        <w:rPr>
          <w:rFonts w:hint="eastAsia" w:ascii="宋体" w:hAnsi="宋体" w:cs="宋体"/>
          <w:sz w:val="24"/>
          <w:szCs w:val="24"/>
          <w:lang w:eastAsia="zh-CN"/>
        </w:rPr>
        <w:t>"C:\Users\bai\Documents\我的文档\股票\霍华德马克思思想精华.docx"</w:t>
      </w:r>
    </w:p>
    <w:p w14:paraId="3A52E66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4A8965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第一步，</w:t>
      </w:r>
      <w:r>
        <w:rPr>
          <w:rFonts w:hint="eastAsia" w:ascii="宋体" w:hAnsi="宋体" w:cs="宋体"/>
          <w:sz w:val="24"/>
          <w:szCs w:val="24"/>
          <w:lang w:eastAsia="zh-CN"/>
        </w:rPr>
        <w:t>过滤掉不可能事件，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筛选</w:t>
      </w:r>
      <w:r>
        <w:rPr>
          <w:rFonts w:ascii="宋体" w:hAnsi="宋体" w:eastAsia="宋体" w:cs="宋体"/>
          <w:sz w:val="24"/>
          <w:szCs w:val="24"/>
        </w:rPr>
        <w:t>当前主力行为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53BCF7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将所有信息点与“参与者识别”提示词一起注入，把行为归类到主力、散户两方，写入程序内存中的“当前参与者行为事件待选列表”。主力可在解释层识别操纵型或配置型序列特征，但不拆分 W 矩阵的参与者维度。</w:t>
      </w:r>
    </w:p>
    <w:p w14:paraId="73B32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63B6F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第二步，程序读取 AI 返回的结构化 JSON，根据参与者与候选行为通过配置表路由对应提示词；路由函数保持无副作用。AI 只在固定词表内判断离散行为与证据，程序过滤不可能事件，并由 HMM 前向滤波计算行为概率。</w:t>
      </w:r>
    </w:p>
    <w:p w14:paraId="09643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84D44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暂有二元决策</w:t>
      </w:r>
      <w:r>
        <w:rPr>
          <w:rFonts w:hint="eastAsia" w:ascii="宋体" w:hAnsi="宋体" w:cs="宋体"/>
          <w:sz w:val="24"/>
          <w:szCs w:val="24"/>
          <w:lang w:eastAsia="zh-CN"/>
        </w:rPr>
        <w:t>判断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流程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需完善</w:t>
      </w:r>
      <w:r>
        <w:rPr>
          <w:rFonts w:hint="eastAsia" w:ascii="宋体" w:hAnsi="宋体" w:cs="宋体"/>
          <w:sz w:val="24"/>
          <w:szCs w:val="24"/>
          <w:lang w:eastAsia="zh-CN"/>
        </w:rPr>
        <w:t>）：提示词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txt写了</w:t>
      </w:r>
      <w:r>
        <w:rPr>
          <w:rFonts w:hint="eastAsia" w:ascii="宋体" w:hAnsi="宋体" w:cs="宋体"/>
          <w:sz w:val="24"/>
          <w:szCs w:val="24"/>
          <w:lang w:eastAsia="zh-CN"/>
        </w:rPr>
        <w:t>每一个步骤教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AI 判断特征，以及应该匹配什么样的行为。</w:t>
      </w:r>
    </w:p>
    <w:p w14:paraId="7F277D3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是否存在</w:t>
      </w:r>
      <w:r>
        <w:rPr>
          <w:rFonts w:ascii="宋体" w:hAnsi="宋体" w:eastAsia="宋体" w:cs="宋体"/>
          <w:sz w:val="24"/>
          <w:szCs w:val="24"/>
        </w:rPr>
        <w:t>板块轮动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比如行业内产业间的关系，比如跷跷板效应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 w14:paraId="37371E2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市场整体行情</w:t>
      </w:r>
    </w:p>
    <w:p w14:paraId="08C2BAF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市场</w:t>
      </w:r>
      <w:r>
        <w:rPr>
          <w:rFonts w:ascii="宋体" w:hAnsi="宋体" w:eastAsia="宋体" w:cs="宋体"/>
          <w:sz w:val="24"/>
          <w:szCs w:val="24"/>
        </w:rPr>
        <w:t>情绪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-散户心理学（《交易心理学》）</w:t>
      </w:r>
    </w:p>
    <w:p w14:paraId="64A84C2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当前处于情绪周期中哪个位置</w:t>
      </w:r>
    </w:p>
    <w:p w14:paraId="7805D85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主力行为逻辑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规律</w:t>
      </w:r>
    </w:p>
    <w:p w14:paraId="24C6AFC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主力行为的推演二元决策路径</w:t>
      </w:r>
    </w:p>
    <w:p w14:paraId="44C973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9FAA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674A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推演思路txt文件编写时参考文档：</w:t>
      </w:r>
    </w:p>
    <w:p w14:paraId="09D5A1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"C:\Users\bai\Documents\我的文档\股票\新项目\量化系统项目总文件夹\博弈分析环节\博弈论ai推演环节设计指导\用博弈论推演行为炒股.docx"（博弈论思维指导）；</w:t>
      </w:r>
    </w:p>
    <w:p w14:paraId="28FD3E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"C:\Users\bai\Documents\我的文档\股票\PA_Agent6.24（激进但机会多）\PA_Agent\prompt_engineering\二元决策.txt"、"C:\Users\bai\Documents\我的文档\股票\PA_Agent6.24（激进但机会多）\PA_Agent\prompt_engineering\市场诊断框架.txt"（推演决策流程核心参考，这是现成的pa项目的参考）；</w:t>
      </w:r>
    </w:p>
    <w:p w14:paraId="3EEE1D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"C:\Users\bai\Documents\我的文档\股票\新项目\量化系统项目总文件夹\博弈分析环节\量化信号生成方案文档-博弈论\博弈论量化信号参考.docx"（仅参考信号的解读部分）</w:t>
      </w:r>
    </w:p>
    <w:p w14:paraId="0C917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05DD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F0CB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判断的方法：注入提示词告诉ai怎么识别和分析对手可能行为，推演博弈</w:t>
      </w:r>
    </w:p>
    <w:p w14:paraId="778E6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场景核心:序贯理性推演(站在主力视角，预判散户反应)</w:t>
      </w:r>
    </w:p>
    <w:p w14:paraId="24105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B7EB5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主力行为的推演二元决策路径例子如下（不充分，没有穷举）</w:t>
      </w:r>
    </w:p>
    <w:p w14:paraId="63CCCD85">
      <w:pPr>
        <w:rPr>
          <w:rFonts w:hint="eastAsia"/>
        </w:rPr>
      </w:pPr>
      <w:r>
        <w:rPr>
          <w:rFonts w:hint="eastAsia"/>
        </w:rPr>
        <w:t>情绪周期位置：板块在短线博弈中使用“冰点、启动、发酵、高潮、退潮”五档。分歧另存为板块共识状态，可发生在任一周期位置；不得把分歧放入五档循环。主力对各周期位置的典型利用方式如下：</w:t>
      </w:r>
    </w:p>
    <w:p w14:paraId="32571533">
      <w:pPr>
        <w:rPr>
          <w:rFonts w:hint="eastAsia"/>
        </w:rPr>
      </w:pPr>
      <w:r>
        <w:rPr>
          <w:rFonts w:hint="eastAsia"/>
        </w:rPr>
        <w:t>情绪冰点 (极度恐惧) ──► 主力建仓/试盘 (利用低吸收集筹码)</w:t>
      </w:r>
    </w:p>
    <w:p w14:paraId="3041A73C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7B94E535">
      <w:pPr>
        <w:rPr>
          <w:rFonts w:hint="eastAsia"/>
        </w:rPr>
      </w:pPr>
      <w:r>
        <w:rPr>
          <w:rFonts w:hint="eastAsia"/>
        </w:rPr>
        <w:t>情绪</w:t>
      </w:r>
      <w:r>
        <w:rPr>
          <w:rFonts w:hint="eastAsia"/>
          <w:lang w:val="en-US" w:eastAsia="zh-CN"/>
        </w:rPr>
        <w:t>启动</w:t>
      </w:r>
      <w:r>
        <w:rPr>
          <w:rFonts w:hint="eastAsia"/>
        </w:rPr>
        <w:t xml:space="preserve"> (犹豫不决) ──► 主力点火/洗盘 (制造振荡拉升，分化跟风盘)</w:t>
      </w:r>
    </w:p>
    <w:p w14:paraId="72D1FFA3">
      <w:pPr>
        <w:rPr>
          <w:rFonts w:hint="eastAsia"/>
        </w:rPr>
      </w:pPr>
    </w:p>
    <w:p w14:paraId="715D74B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情绪发酵</w:t>
      </w:r>
    </w:p>
    <w:p w14:paraId="63325980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9F9572C">
      <w:pPr>
        <w:rPr>
          <w:rFonts w:hint="eastAsia"/>
        </w:rPr>
      </w:pPr>
      <w:r>
        <w:rPr>
          <w:rFonts w:hint="eastAsia"/>
        </w:rPr>
        <w:t>情绪高潮 (极度贪婪) ──► 主力派发/诱多 (利用一致性追涨实现兑现)</w:t>
      </w:r>
    </w:p>
    <w:p w14:paraId="1EC5E717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1D93DE4D">
      <w:pPr>
        <w:rPr>
          <w:rFonts w:hint="eastAsia"/>
        </w:rPr>
      </w:pPr>
      <w:r>
        <w:rPr>
          <w:rFonts w:hint="eastAsia"/>
        </w:rPr>
        <w:t>情绪退潮（高位兑现后转弱）──► 主力出货/狩猎止损（顺势收割，等待下一冰点）</w:t>
      </w:r>
    </w:p>
    <w:p w14:paraId="7C288B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需要：这里只是从模糊的一个“主力”角度思考推理的一部分，还需要再深入研究。</w:t>
      </w:r>
      <w:r>
        <w:rPr>
          <w:rFonts w:hint="eastAsia"/>
          <w:lang w:eastAsia="zh-CN"/>
        </w:rPr>
        <w:t>详细列出</w:t>
      </w:r>
      <w:r>
        <w:rPr>
          <w:rFonts w:hint="eastAsia"/>
          <w:lang w:val="en-US" w:eastAsia="zh-CN"/>
        </w:rPr>
        <w:t>每一种</w:t>
      </w:r>
      <w:r>
        <w:rPr>
          <w:rFonts w:hint="eastAsia"/>
          <w:lang w:eastAsia="zh-CN"/>
        </w:rPr>
        <w:t>不同情绪时期的主要特征，让</w:t>
      </w:r>
      <w:r>
        <w:rPr>
          <w:rFonts w:hint="eastAsia"/>
          <w:lang w:val="en-US" w:eastAsia="zh-CN"/>
        </w:rPr>
        <w:t xml:space="preserve"> AI 能够准确判断，以及这段时期的主力行为。</w:t>
      </w:r>
    </w:p>
    <w:p w14:paraId="09E382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360BD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-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博弈参与者（二方）：主力与散户。本程序用户不属于以情绪和从众为依据的散户参与者。</w:t>
      </w:r>
    </w:p>
    <w:p w14:paraId="61B34E8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Chars="-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主力包含短周期操纵型资金与长周期配置型资金。两者可作为序列特征的解释标签，但单日资金流无法可靠区分，因此在 W 矩阵和测量层合并为“主力”。</w:t>
      </w:r>
    </w:p>
    <w:p w14:paraId="5B0057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两方参与者及各自行为词表：</w:t>
      </w:r>
    </w:p>
    <w:p w14:paraId="66B89D16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4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199" w:leftChars="0" w:hanging="199" w:hangingChars="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主力：建仓、震仓、拉升、出货、观望、狩猎止损。</w:t>
      </w:r>
    </w:p>
    <w:p w14:paraId="0E36789A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4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199" w:leftChars="0" w:hanging="199" w:hangingChars="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散户：FOMO追高、恐慌割肉、观望、理性跟随、底部建仓、高位减仓。</w:t>
      </w:r>
    </w:p>
    <w:p w14:paraId="628EFA01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4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199" w:leftChars="0" w:hanging="199" w:hangingChars="83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国家队不是参与者；其影响归入政策环境。</w:t>
      </w:r>
    </w:p>
    <w:p w14:paraId="4A8E5AB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761F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62FE3DC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过滤不可能的未来事件后，由手写参数的 HMM 前向滤波计算 A 类主力/散户行为概率。A、C、W 三表来自版本化配置，运行时不训练；大模型只输出离散标签、抽取证据和解释结果。系统覆盖多种可能情景，不只挑选一个结果作为确定预测。</w:t>
      </w:r>
    </w:p>
    <w:p w14:paraId="26C826E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5841F40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未来</w:t>
      </w:r>
      <w:r>
        <w:rPr>
          <w:rFonts w:hint="eastAsia" w:ascii="宋体" w:hAnsi="宋体" w:cs="宋体"/>
          <w:sz w:val="24"/>
          <w:szCs w:val="24"/>
          <w:lang w:eastAsia="zh-CN"/>
        </w:rPr>
        <w:t>事件列表：</w:t>
      </w:r>
    </w:p>
    <w:p w14:paraId="765040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筛选结果+概率：</w:t>
      </w:r>
    </w:p>
    <w:p w14:paraId="3E6C52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主力与散户分别给出各自行为词表中的概率分布，并随 A 类概率携带先验权重；样本不足时返回“数据不足”，不返回带警告的数字。</w:t>
      </w:r>
    </w:p>
    <w:p w14:paraId="77FF15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004E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9E67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20A09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假设验证（离线评估）</w:t>
      </w:r>
    </w:p>
    <w:p w14:paraId="36EF4E7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系统运行一段时间后，用历史上概率最大决策的实际结果对比预测，计算校准度并回测板块走势，产出系统级打分与原因说明。该流程不在实时决策路径上运行。</w:t>
      </w:r>
    </w:p>
    <w:p w14:paraId="561221F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每个 A 类概率输出携带先验权重；只有校准度可以反向修正先验。不得把先验权重称为最终置信度。</w:t>
      </w:r>
    </w:p>
    <w:p w14:paraId="57A3B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pPr>
    </w:p>
    <w:p w14:paraId="2D5424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</w:p>
    <w:p w14:paraId="799F6C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</w:p>
    <w:p w14:paraId="2991C2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</w:p>
    <w:p w14:paraId="59D1C75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独立完整结果：在午盘（11:30）或收盘（15:00）决策点，输出 A 类参与者行为概率、B 类下一时段价格分布、C 类 T+1 首次触及概率、独立闸门与情景应对树。若针对个股启用 T+1 联动，再读取 PA 阶段 2 的结构化输出完成下单前判断。</w:t>
      </w:r>
    </w:p>
    <w:p w14:paraId="1503CE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比如：明天开盘波动较大的概率，某种价格走势行为的概率</w:t>
      </w:r>
    </w:p>
    <w:p w14:paraId="3C6345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13D8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F4509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B1709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600E70E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二阶博弈读取 PA 技术分析结论，结合自身推演输出独立 T+1 布尔闸门、理由文本与下一时段的情景应对树；不修改 PA 的止损价、盈亏比或仓位参数。</w:t>
      </w:r>
    </w:p>
    <w:p w14:paraId="12D63B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详细内容请参考联动方案设计文档："C:\Users\bai\Documents\我的文档\股票\新项目\量化系统项目总文件夹\与pa程序联动的模块\联动pa的方案设计文档.docx"</w:t>
      </w:r>
    </w:p>
    <w:p w14:paraId="78004F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功能描述：T+0模式下，自动交易系统仅根据技术分析模块分析的下单决策下单，</w:t>
      </w:r>
      <w:r>
        <w:rPr>
          <w:rFonts w:ascii="宋体" w:hAnsi="宋体" w:eastAsia="宋体" w:cs="宋体"/>
          <w:sz w:val="24"/>
          <w:szCs w:val="24"/>
        </w:rPr>
        <w:t>T+1模式下，自动交易系统根据博弈结果下单。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所以</w:t>
      </w:r>
      <w:r>
        <w:rPr>
          <w:rFonts w:ascii="宋体" w:hAnsi="宋体" w:eastAsia="宋体" w:cs="宋体"/>
          <w:sz w:val="24"/>
          <w:szCs w:val="24"/>
        </w:rPr>
        <w:t>T+1 模式下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pa的技术</w:t>
      </w:r>
      <w:r>
        <w:rPr>
          <w:rFonts w:ascii="宋体" w:hAnsi="宋体" w:eastAsia="宋体" w:cs="宋体"/>
          <w:sz w:val="24"/>
          <w:szCs w:val="24"/>
        </w:rPr>
        <w:t>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模块</w:t>
      </w:r>
      <w:r>
        <w:rPr>
          <w:rFonts w:ascii="宋体" w:hAnsi="宋体" w:eastAsia="宋体" w:cs="宋体"/>
          <w:sz w:val="24"/>
          <w:szCs w:val="24"/>
        </w:rPr>
        <w:t>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成</w:t>
      </w:r>
      <w:r>
        <w:rPr>
          <w:rFonts w:ascii="宋体" w:hAnsi="宋体" w:eastAsia="宋体" w:cs="宋体"/>
          <w:sz w:val="24"/>
          <w:szCs w:val="24"/>
        </w:rPr>
        <w:t>阶段 1、阶段 2 之后，就自动启动</w:t>
      </w:r>
      <w:r>
        <w:rPr>
          <w:rFonts w:hint="eastAsia" w:ascii="宋体" w:hAnsi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二阶博弈</w:t>
      </w:r>
      <w:r>
        <w:rPr>
          <w:rFonts w:hint="eastAsia" w:ascii="宋体" w:hAnsi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然后在二阶分析决策页面根据行为推演结果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再</w:t>
      </w:r>
      <w:r>
        <w:rPr>
          <w:rFonts w:ascii="宋体" w:hAnsi="宋体" w:eastAsia="宋体" w:cs="宋体"/>
          <w:sz w:val="24"/>
          <w:szCs w:val="24"/>
        </w:rPr>
        <w:t>判断低开概率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首次下跌达到止损概率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等等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4793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PA 阶段 2 完成后，由显式 on_stage2_complete 回调触发二阶博弈；PA 阶段 2 的结构化 JSON 随后作为二阶分析输入。二阶博弈输出独立布尔闸门、理由文本与情景应对树，在 T+1 模式下作为下单前最后一道程序化判断；不调整 PA 的 estimated_win_rate，也不借提示词路由触发联动。</w:t>
      </w:r>
    </w:p>
    <w:p w14:paraId="5B149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</w:p>
    <w:p w14:paraId="27D295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情景应对树（Scenario Planning 方法的产物）：</w:t>
      </w:r>
    </w:p>
    <w:p w14:paraId="3934718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明日开盘与竞价表现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超预期强（开盘爆买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大幅高开）符合预期（平开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微幅高开，板块按部就班）低于预期（大幅低开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核心标的被砸）</w:t>
      </w:r>
    </w:p>
    <w:p w14:paraId="43245C6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主力行为推断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eastAsia="宋体" w:cs="宋体"/>
          <w:sz w:val="24"/>
          <w:szCs w:val="24"/>
        </w:rPr>
        <w:t>给出轮动中的应对</w:t>
      </w:r>
    </w:p>
    <w:p w14:paraId="61DB1E9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5" w:leftChars="0" w:hanging="425" w:firstLineChars="0"/>
        <w:textAlignment w:val="auto"/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cs="宋体"/>
          <w:kern w:val="2"/>
          <w:sz w:val="24"/>
          <w:szCs w:val="24"/>
          <w:lang w:val="en-US" w:eastAsia="zh-CN" w:bidi="ar-SA"/>
        </w:rPr>
        <w:t>应对策略（收益与风险平衡）</w:t>
      </w:r>
    </w:p>
    <w:p w14:paraId="7F95C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957D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210" w:leftChars="10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066AFF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1AD200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技术思考</w:t>
      </w:r>
    </w:p>
    <w:p w14:paraId="197846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/>
        <w:textAlignment w:val="auto"/>
        <w:rPr>
          <w:rFonts w:hint="default"/>
          <w:sz w:val="24"/>
          <w:szCs w:val="24"/>
          <w:lang w:val="en-US" w:eastAsia="zh-CN"/>
        </w:rPr>
      </w:pPr>
    </w:p>
    <w:p w14:paraId="491A4416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所有决策必须是完全按照脚本和严谨的提示词程序严格进行的，而不能是模型主观的。</w:t>
      </w:r>
    </w:p>
    <w:p w14:paraId="4D77064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策略是用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Python 脚本写的，可以直接在这个软件的前端中进行编辑。</w:t>
      </w:r>
    </w:p>
    <w:p w14:paraId="324525C9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行情分析 K 线固定使用 K_120M（2 小时），分别对应午盘 11:30 与收盘 15:00 两个决策点；不使用语义不明确的 K_240M/4h 聚合。</w:t>
      </w:r>
    </w:p>
    <w:p w14:paraId="7F4684A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所有修改 AI 提示词的存放路径，必须在使用手册中列出。统一分类分层存放到项目中。</w:t>
      </w:r>
    </w:p>
    <w:p w14:paraId="3E138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/>
        <w:textAlignment w:val="auto"/>
        <w:rPr>
          <w:rFonts w:ascii="宋体" w:hAnsi="宋体" w:eastAsia="宋体" w:cs="宋体"/>
          <w:sz w:val="24"/>
          <w:szCs w:val="24"/>
        </w:rPr>
      </w:pPr>
    </w:p>
    <w:p w14:paraId="03053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232F1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66ACB"/>
    <w:multiLevelType w:val="singleLevel"/>
    <w:tmpl w:val="8D866ACB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9FCB9E6D"/>
    <w:multiLevelType w:val="singleLevel"/>
    <w:tmpl w:val="9FCB9E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1BEFEFA"/>
    <w:multiLevelType w:val="singleLevel"/>
    <w:tmpl w:val="A1BEFEF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A7B64BFF"/>
    <w:multiLevelType w:val="singleLevel"/>
    <w:tmpl w:val="A7B64BF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ADA6D70"/>
    <w:multiLevelType w:val="singleLevel"/>
    <w:tmpl w:val="AADA6D70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6BBE1D5"/>
    <w:multiLevelType w:val="singleLevel"/>
    <w:tmpl w:val="C6BBE1D5"/>
    <w:lvl w:ilvl="0" w:tentative="0">
      <w:start w:val="2"/>
      <w:numFmt w:val="decimal"/>
      <w:suff w:val="nothing"/>
      <w:lvlText w:val="%1，"/>
      <w:lvlJc w:val="left"/>
    </w:lvl>
  </w:abstractNum>
  <w:abstractNum w:abstractNumId="6">
    <w:nsid w:val="CCB36C3D"/>
    <w:multiLevelType w:val="singleLevel"/>
    <w:tmpl w:val="CCB36C3D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D1013A"/>
    <w:multiLevelType w:val="singleLevel"/>
    <w:tmpl w:val="E9D101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FB59F17E"/>
    <w:multiLevelType w:val="multilevel"/>
    <w:tmpl w:val="FB59F17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FE27A4C8"/>
    <w:multiLevelType w:val="singleLevel"/>
    <w:tmpl w:val="FE27A4C8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00000002"/>
    <w:multiLevelType w:val="singleLevel"/>
    <w:tmpl w:val="00000002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1">
    <w:nsid w:val="00000003"/>
    <w:multiLevelType w:val="singleLevel"/>
    <w:tmpl w:val="0000000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2">
    <w:nsid w:val="081A33B6"/>
    <w:multiLevelType w:val="singleLevel"/>
    <w:tmpl w:val="081A33B6"/>
    <w:lvl w:ilvl="0" w:tentative="0">
      <w:start w:val="1"/>
      <w:numFmt w:val="lowerLetter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abstractNum w:abstractNumId="13">
    <w:nsid w:val="35C44644"/>
    <w:multiLevelType w:val="singleLevel"/>
    <w:tmpl w:val="35C4464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4B7D1F35"/>
    <w:multiLevelType w:val="singleLevel"/>
    <w:tmpl w:val="4B7D1F35"/>
    <w:lvl w:ilvl="0" w:tentative="0">
      <w:start w:val="4"/>
      <w:numFmt w:val="decimal"/>
      <w:suff w:val="nothing"/>
      <w:lvlText w:val="%1，"/>
      <w:lvlJc w:val="left"/>
    </w:lvl>
  </w:abstractNum>
  <w:abstractNum w:abstractNumId="15">
    <w:nsid w:val="6CC63AE4"/>
    <w:multiLevelType w:val="singleLevel"/>
    <w:tmpl w:val="6CC63AE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1"/>
  </w:num>
  <w:num w:numId="5">
    <w:abstractNumId w:val="8"/>
  </w:num>
  <w:num w:numId="6">
    <w:abstractNumId w:val="13"/>
  </w:num>
  <w:num w:numId="7">
    <w:abstractNumId w:val="4"/>
  </w:num>
  <w:num w:numId="8">
    <w:abstractNumId w:val="14"/>
  </w:num>
  <w:num w:numId="9">
    <w:abstractNumId w:val="2"/>
  </w:num>
  <w:num w:numId="10">
    <w:abstractNumId w:val="0"/>
  </w:num>
  <w:num w:numId="11">
    <w:abstractNumId w:val="15"/>
  </w:num>
  <w:num w:numId="12">
    <w:abstractNumId w:val="12"/>
  </w:num>
  <w:num w:numId="13">
    <w:abstractNumId w:val="5"/>
  </w:num>
  <w:num w:numId="14">
    <w:abstractNumId w:val="3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21116"/>
    <w:rsid w:val="06B2169A"/>
    <w:rsid w:val="07773341"/>
    <w:rsid w:val="07797F74"/>
    <w:rsid w:val="0B191045"/>
    <w:rsid w:val="0C3F2FE1"/>
    <w:rsid w:val="0C8D151F"/>
    <w:rsid w:val="0DAE7A28"/>
    <w:rsid w:val="0E365EE5"/>
    <w:rsid w:val="10586AB4"/>
    <w:rsid w:val="11970AAC"/>
    <w:rsid w:val="1218482D"/>
    <w:rsid w:val="134473DE"/>
    <w:rsid w:val="14B13518"/>
    <w:rsid w:val="17904C9D"/>
    <w:rsid w:val="17F906B8"/>
    <w:rsid w:val="18540AC3"/>
    <w:rsid w:val="1952284D"/>
    <w:rsid w:val="1AE25D7E"/>
    <w:rsid w:val="1D90796E"/>
    <w:rsid w:val="1DFC3D3D"/>
    <w:rsid w:val="1E626245"/>
    <w:rsid w:val="208A2D9A"/>
    <w:rsid w:val="220A5F40"/>
    <w:rsid w:val="22A31EF1"/>
    <w:rsid w:val="22A80104"/>
    <w:rsid w:val="23350D61"/>
    <w:rsid w:val="24363CEF"/>
    <w:rsid w:val="254A456A"/>
    <w:rsid w:val="26B02E2F"/>
    <w:rsid w:val="27AE2DD1"/>
    <w:rsid w:val="27C655F7"/>
    <w:rsid w:val="2808705F"/>
    <w:rsid w:val="28F046C5"/>
    <w:rsid w:val="2CE6203A"/>
    <w:rsid w:val="2E690B71"/>
    <w:rsid w:val="310E70CF"/>
    <w:rsid w:val="33B056C5"/>
    <w:rsid w:val="34A76144"/>
    <w:rsid w:val="36486124"/>
    <w:rsid w:val="39F95ACD"/>
    <w:rsid w:val="3A217887"/>
    <w:rsid w:val="3A3D380F"/>
    <w:rsid w:val="3AD4138A"/>
    <w:rsid w:val="3B5129C9"/>
    <w:rsid w:val="3B5B73B5"/>
    <w:rsid w:val="3C4B7E28"/>
    <w:rsid w:val="3C884BA3"/>
    <w:rsid w:val="3E257FE7"/>
    <w:rsid w:val="3F033FEC"/>
    <w:rsid w:val="40C90B30"/>
    <w:rsid w:val="4156502F"/>
    <w:rsid w:val="418D6BDC"/>
    <w:rsid w:val="41F93484"/>
    <w:rsid w:val="421719F8"/>
    <w:rsid w:val="422264C8"/>
    <w:rsid w:val="43511825"/>
    <w:rsid w:val="45121FA2"/>
    <w:rsid w:val="491578C1"/>
    <w:rsid w:val="496F6480"/>
    <w:rsid w:val="4CC660F6"/>
    <w:rsid w:val="4CE92A73"/>
    <w:rsid w:val="4E3F051C"/>
    <w:rsid w:val="4E533960"/>
    <w:rsid w:val="4E706DA4"/>
    <w:rsid w:val="4FAC21CD"/>
    <w:rsid w:val="4FBA2E03"/>
    <w:rsid w:val="501E6338"/>
    <w:rsid w:val="51A21442"/>
    <w:rsid w:val="52541149"/>
    <w:rsid w:val="52A82A88"/>
    <w:rsid w:val="53B426EE"/>
    <w:rsid w:val="53C12BDF"/>
    <w:rsid w:val="54237896"/>
    <w:rsid w:val="546C596D"/>
    <w:rsid w:val="562B40FC"/>
    <w:rsid w:val="57551D0B"/>
    <w:rsid w:val="580D2961"/>
    <w:rsid w:val="58B744E4"/>
    <w:rsid w:val="58C55C7A"/>
    <w:rsid w:val="5DAF116F"/>
    <w:rsid w:val="639A3D75"/>
    <w:rsid w:val="64CE7CB1"/>
    <w:rsid w:val="64E62848"/>
    <w:rsid w:val="65F11318"/>
    <w:rsid w:val="66AA567A"/>
    <w:rsid w:val="677A62D8"/>
    <w:rsid w:val="67D264AE"/>
    <w:rsid w:val="6BFF116D"/>
    <w:rsid w:val="6C751B97"/>
    <w:rsid w:val="6CBC13F4"/>
    <w:rsid w:val="6D0F07EE"/>
    <w:rsid w:val="701632CF"/>
    <w:rsid w:val="7193433F"/>
    <w:rsid w:val="72133280"/>
    <w:rsid w:val="730D4A6D"/>
    <w:rsid w:val="733B49D5"/>
    <w:rsid w:val="73806956"/>
    <w:rsid w:val="762229CE"/>
    <w:rsid w:val="765F1837"/>
    <w:rsid w:val="774002DD"/>
    <w:rsid w:val="777A29FA"/>
    <w:rsid w:val="788A03B6"/>
    <w:rsid w:val="79B6284E"/>
    <w:rsid w:val="7E0B6056"/>
    <w:rsid w:val="7F2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6735</Words>
  <Characters>8024</Characters>
  <Lines>1</Lines>
  <Paragraphs>1</Paragraphs>
  <TotalTime>341</TotalTime>
  <ScaleCrop>false</ScaleCrop>
  <LinksUpToDate>false</LinksUpToDate>
  <CharactersWithSpaces>8306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2026-07-24T07:53:00Z</dcterms:created>
  <dc:creator>bai</dc:creator>
  <cp:lastModifiedBy>Mr.蔡</cp:lastModifiedBy>
  <dcterms:modified xsi:type="dcterms:W3CDTF">2026-08-19T13:32:20Z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D960B87595C64083BE22D418FBA8A071_12</vt:lpwstr>
  </property>
</Properties>
</file>