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4974E">
      <w:pPr>
        <w:spacing w:before="80" w:after="80" w:line="259" w:lineRule="auto"/>
      </w:pPr>
      <w:r>
        <w:rPr>
          <w:rFonts w:ascii="微软雅黑" w:hAnsi="微软雅黑" w:eastAsia="微软雅黑"/>
          <w:b/>
          <w:color w:val="2E4A6B"/>
          <w:sz w:val="30"/>
        </w:rPr>
        <w:t>用博弈论破解市场参与者的行为密码：一套量化交易策略详解</w:t>
      </w:r>
    </w:p>
    <w:p w14:paraId="66BDE222">
      <w:pPr>
        <w:spacing w:before="140" w:after="60" w:line="259" w:lineRule="auto"/>
      </w:pPr>
      <w:r>
        <w:rPr>
          <w:rFonts w:ascii="微软雅黑" w:hAnsi="微软雅黑" w:eastAsia="微软雅黑"/>
          <w:b/>
          <w:color w:val="2E4A6B"/>
          <w:sz w:val="26"/>
        </w:rPr>
        <w:t>一、引言</w:t>
      </w:r>
    </w:p>
    <w:p w14:paraId="33D6EB6C">
      <w:pPr>
        <w:spacing w:before="0" w:after="40" w:line="259" w:lineRule="auto"/>
      </w:pPr>
      <w:r>
        <w:rPr>
          <w:rFonts w:ascii="宋体" w:hAnsi="宋体" w:eastAsia="宋体"/>
          <w:b w:val="0"/>
          <w:color w:val="222222"/>
          <w:sz w:val="21"/>
        </w:rPr>
        <w:t>市场就是一个巨大的博弈场，每一次</w:t>
      </w:r>
      <w:bookmarkStart w:id="0" w:name="_GoBack"/>
      <w:bookmarkEnd w:id="0"/>
      <w:r>
        <w:rPr>
          <w:rFonts w:ascii="宋体" w:hAnsi="宋体" w:eastAsia="宋体"/>
          <w:b w:val="0"/>
          <w:color w:val="222222"/>
          <w:sz w:val="21"/>
        </w:rPr>
        <w:t>交易背后都是不同参与者的心理较量</w:t>
      </w:r>
      <w:r>
        <w:rPr>
          <w:rFonts w:hint="eastAsia"/>
          <w:b w:val="0"/>
          <w:color w:val="222222"/>
          <w:sz w:val="21"/>
          <w:lang w:eastAsia="zh-CN"/>
        </w:rPr>
        <w:t>，从而诞生了交易心理学，这也属于博弈论的一部分。</w:t>
      </w:r>
      <w:r>
        <w:rPr>
          <w:rFonts w:ascii="宋体" w:hAnsi="宋体" w:eastAsia="宋体"/>
          <w:b w:val="0"/>
          <w:color w:val="222222"/>
          <w:sz w:val="21"/>
        </w:rPr>
        <w:t>每一次价格波动都不是随机的，而是不同利益集团博弈的结果：</w:t>
      </w:r>
    </w:p>
    <w:p w14:paraId="26FBFA5A">
      <w:pPr>
        <w:pStyle w:val="16"/>
        <w:spacing w:before="0" w:after="20" w:line="259" w:lineRule="auto"/>
      </w:pPr>
      <w:r>
        <w:rPr>
          <w:rFonts w:ascii="宋体" w:hAnsi="宋体" w:eastAsia="宋体"/>
          <w:b/>
          <w:color w:val="222222"/>
          <w:sz w:val="21"/>
        </w:rPr>
        <w:t>散户</w:t>
      </w:r>
      <w:r>
        <w:rPr>
          <w:rFonts w:ascii="宋体" w:hAnsi="宋体" w:eastAsia="宋体"/>
          <w:b w:val="0"/>
          <w:color w:val="222222"/>
          <w:sz w:val="21"/>
        </w:rPr>
        <w:t>基于情绪交易；</w:t>
      </w:r>
    </w:p>
    <w:p w14:paraId="5A446CB3">
      <w:pPr>
        <w:pStyle w:val="16"/>
        <w:spacing w:before="0" w:after="20" w:line="259" w:lineRule="auto"/>
      </w:pPr>
      <w:r>
        <w:rPr>
          <w:rFonts w:ascii="宋体" w:hAnsi="宋体" w:eastAsia="宋体"/>
          <w:b/>
          <w:color w:val="222222"/>
          <w:sz w:val="21"/>
        </w:rPr>
        <w:t>机构</w:t>
      </w:r>
      <w:r>
        <w:rPr>
          <w:rFonts w:ascii="宋体" w:hAnsi="宋体" w:eastAsia="宋体"/>
          <w:b w:val="0"/>
          <w:color w:val="222222"/>
          <w:sz w:val="21"/>
        </w:rPr>
        <w:t>基于信息优势操作；</w:t>
      </w:r>
    </w:p>
    <w:p w14:paraId="5F8CBC52">
      <w:pPr>
        <w:pStyle w:val="16"/>
        <w:spacing w:before="0" w:after="20" w:line="259" w:lineRule="auto"/>
      </w:pPr>
      <w:r>
        <w:rPr>
          <w:rFonts w:ascii="宋体" w:hAnsi="宋体" w:eastAsia="宋体"/>
          <w:b/>
          <w:color w:val="222222"/>
          <w:sz w:val="21"/>
        </w:rPr>
        <w:t>做市商</w:t>
      </w:r>
      <w:r>
        <w:rPr>
          <w:rFonts w:ascii="宋体" w:hAnsi="宋体" w:eastAsia="宋体"/>
          <w:b w:val="0"/>
          <w:color w:val="222222"/>
          <w:sz w:val="21"/>
        </w:rPr>
        <w:t>通过流动性获利。</w:t>
      </w:r>
    </w:p>
    <w:p w14:paraId="4F4903F2">
      <w:pPr>
        <w:spacing w:before="0" w:after="40" w:line="259" w:lineRule="auto"/>
      </w:pPr>
      <w:r>
        <w:rPr>
          <w:rFonts w:ascii="宋体" w:hAnsi="宋体" w:eastAsia="宋体"/>
          <w:b w:val="0"/>
          <w:color w:val="222222"/>
          <w:sz w:val="21"/>
        </w:rPr>
        <w:t>这构成了一个复杂的多方博弈系统。传统技术分析只能看到价格和成交量的表象，却无法洞察背后的博弈本质。本策略正是基于这一洞察而诞生——它将市场视为一个多方参与的不完全信息博弈，通过识别各类群体行为特征，构建出一套完整的博弈分析框架。</w:t>
      </w:r>
    </w:p>
    <w:p w14:paraId="520AB881">
      <w:pPr>
        <w:spacing w:before="0" w:after="40" w:line="259" w:lineRule="auto"/>
        <w:rPr>
          <w:rFonts w:ascii="宋体" w:hAnsi="宋体" w:eastAsia="宋体"/>
          <w:b w:val="0"/>
          <w:color w:val="222222"/>
          <w:sz w:val="21"/>
        </w:rPr>
      </w:pPr>
      <w:r>
        <w:rPr>
          <w:rFonts w:ascii="宋体" w:hAnsi="宋体" w:eastAsia="宋体"/>
          <w:b w:val="0"/>
          <w:color w:val="222222"/>
          <w:sz w:val="21"/>
        </w:rPr>
        <w:t>策略的核心理念是：理解其他参与者的行为逻辑，预测他们的策略选择，然后制定自己的最优反应策略，从而在市场博弈中获得信息优势和行为优势。</w:t>
      </w:r>
    </w:p>
    <w:p w14:paraId="0A606EA2">
      <w:pPr>
        <w:spacing w:before="0" w:after="40" w:line="259" w:lineRule="auto"/>
        <w:rPr>
          <w:sz w:val="22"/>
          <w:szCs w:val="24"/>
          <w:u w:val="single"/>
        </w:rPr>
      </w:pPr>
      <w:r>
        <w:rPr>
          <w:rFonts w:ascii="宋体" w:hAnsi="宋体" w:eastAsia="宋体"/>
          <w:b w:val="0"/>
          <w:color w:val="222222"/>
          <w:sz w:val="22"/>
          <w:szCs w:val="24"/>
          <w:u w:val="single"/>
        </w:rPr>
        <w:t>这套策略的核心创新在于，将博弈论理论系统化地转化为可执行的交易框架。</w:t>
      </w:r>
    </w:p>
    <w:p w14:paraId="06EA6586">
      <w:pPr>
        <w:spacing w:before="140" w:after="60" w:line="259" w:lineRule="auto"/>
      </w:pPr>
      <w:r>
        <w:rPr>
          <w:rFonts w:ascii="微软雅黑" w:hAnsi="微软雅黑" w:eastAsia="微软雅黑"/>
          <w:b/>
          <w:color w:val="2E4A6B"/>
          <w:sz w:val="26"/>
        </w:rPr>
        <w:t>二、策略框架</w:t>
      </w:r>
    </w:p>
    <w:p w14:paraId="158E9056">
      <w:pPr>
        <w:spacing w:before="100" w:after="40" w:line="259" w:lineRule="auto"/>
        <w:rPr>
          <w:rFonts w:hint="eastAsia" w:eastAsia="微软雅黑"/>
          <w:lang w:eastAsia="zh-CN"/>
        </w:rPr>
      </w:pPr>
      <w:r>
        <w:rPr>
          <w:rFonts w:ascii="微软雅黑" w:hAnsi="微软雅黑" w:eastAsia="微软雅黑"/>
          <w:b/>
          <w:color w:val="2E4A6B"/>
          <w:sz w:val="23"/>
        </w:rPr>
        <w:t>2.1 三类核心参与者</w:t>
      </w:r>
      <w:r>
        <w:rPr>
          <w:rFonts w:hint="eastAsia" w:ascii="微软雅黑" w:hAnsi="微软雅黑" w:eastAsia="微软雅黑"/>
          <w:b/>
          <w:color w:val="2E4A6B"/>
          <w:sz w:val="23"/>
          <w:lang w:eastAsia="zh-CN"/>
        </w:rPr>
        <w:t>（这里的参与者，我们的量化系统设计中会</w:t>
      </w:r>
      <w:r>
        <w:rPr>
          <w:rFonts w:hint="eastAsia" w:ascii="微软雅黑" w:hAnsi="微软雅黑" w:eastAsia="微软雅黑"/>
          <w:b/>
          <w:color w:val="2E4A6B"/>
          <w:sz w:val="23"/>
          <w:lang w:val="en-US" w:eastAsia="zh-CN"/>
        </w:rPr>
        <w:t>考虑增加</w:t>
      </w:r>
      <w:r>
        <w:rPr>
          <w:rFonts w:hint="eastAsia" w:ascii="微软雅黑" w:hAnsi="微软雅黑" w:eastAsia="微软雅黑"/>
          <w:b/>
          <w:color w:val="2E4A6B"/>
          <w:sz w:val="23"/>
          <w:lang w:eastAsia="zh-CN"/>
        </w:rPr>
        <w:t>得更全面）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0"/>
        <w:gridCol w:w="2935"/>
        <w:gridCol w:w="2961"/>
      </w:tblGrid>
      <w:tr w14:paraId="6224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2E4A6B"/>
          </w:tcPr>
          <w:p w14:paraId="493F626E">
            <w:pPr>
              <w:spacing w:before="0" w:after="0" w:line="240" w:lineRule="auto"/>
            </w:pPr>
            <w:r>
              <w:rPr>
                <w:rFonts w:ascii="微软雅黑" w:hAnsi="微软雅黑" w:eastAsia="微软雅黑"/>
                <w:b/>
                <w:color w:val="FFFFFF"/>
                <w:sz w:val="19"/>
              </w:rPr>
              <w:t>群体</w:t>
            </w:r>
          </w:p>
        </w:tc>
        <w:tc>
          <w:tcPr>
            <w:tcW w:w="3324" w:type="dxa"/>
            <w:shd w:val="clear" w:color="auto" w:fill="2E4A6B"/>
          </w:tcPr>
          <w:p w14:paraId="63F67BCF">
            <w:pPr>
              <w:spacing w:before="0" w:after="0" w:line="240" w:lineRule="auto"/>
            </w:pPr>
            <w:r>
              <w:rPr>
                <w:rFonts w:ascii="微软雅黑" w:hAnsi="微软雅黑" w:eastAsia="微软雅黑"/>
                <w:b/>
                <w:color w:val="FFFFFF"/>
                <w:sz w:val="19"/>
              </w:rPr>
              <w:t>特征</w:t>
            </w:r>
          </w:p>
        </w:tc>
        <w:tc>
          <w:tcPr>
            <w:tcW w:w="3324" w:type="dxa"/>
            <w:shd w:val="clear" w:color="auto" w:fill="2E4A6B"/>
          </w:tcPr>
          <w:p w14:paraId="3EE1D9CF">
            <w:pPr>
              <w:spacing w:before="0" w:after="0" w:line="240" w:lineRule="auto"/>
            </w:pPr>
            <w:r>
              <w:rPr>
                <w:rFonts w:ascii="微软雅黑" w:hAnsi="微软雅黑" w:eastAsia="微软雅黑"/>
                <w:b/>
                <w:color w:val="FFFFFF"/>
                <w:sz w:val="19"/>
              </w:rPr>
              <w:t>行为逻辑</w:t>
            </w:r>
          </w:p>
        </w:tc>
      </w:tr>
      <w:tr w14:paraId="1279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14:paraId="71952E54">
            <w:pPr>
              <w:spacing w:before="0" w:after="0" w:line="240" w:lineRule="auto"/>
            </w:pPr>
            <w:r>
              <w:rPr>
                <w:rFonts w:ascii="宋体" w:hAnsi="宋体" w:eastAsia="宋体"/>
                <w:b w:val="0"/>
                <w:color w:val="222222"/>
                <w:sz w:val="19"/>
              </w:rPr>
              <w:t>情绪驱动的散户群体</w:t>
            </w:r>
          </w:p>
        </w:tc>
        <w:tc>
          <w:tcPr>
            <w:tcW w:w="3324" w:type="dxa"/>
          </w:tcPr>
          <w:p w14:paraId="42066DBD">
            <w:pPr>
              <w:spacing w:before="0" w:after="0" w:line="240" w:lineRule="auto"/>
            </w:pPr>
            <w:r>
              <w:rPr>
                <w:rFonts w:ascii="宋体" w:hAnsi="宋体" w:eastAsia="宋体"/>
                <w:b w:val="0"/>
                <w:color w:val="222222"/>
                <w:sz w:val="19"/>
              </w:rPr>
              <w:t>基于情绪</w:t>
            </w:r>
          </w:p>
        </w:tc>
        <w:tc>
          <w:tcPr>
            <w:tcW w:w="3324" w:type="dxa"/>
          </w:tcPr>
          <w:p w14:paraId="4FC8F166">
            <w:pPr>
              <w:spacing w:before="0" w:after="0" w:line="240" w:lineRule="auto"/>
            </w:pPr>
            <w:r>
              <w:rPr>
                <w:rFonts w:ascii="宋体" w:hAnsi="宋体" w:eastAsia="宋体"/>
                <w:b w:val="0"/>
                <w:color w:val="222222"/>
                <w:sz w:val="19"/>
              </w:rPr>
              <w:t>追涨杀跌，形成羊群效应</w:t>
            </w:r>
          </w:p>
        </w:tc>
      </w:tr>
      <w:tr w14:paraId="797C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EEF2F7"/>
          </w:tcPr>
          <w:p w14:paraId="7D0BD8F4">
            <w:pPr>
              <w:spacing w:before="0" w:after="0" w:line="240" w:lineRule="auto"/>
            </w:pPr>
            <w:r>
              <w:rPr>
                <w:rFonts w:ascii="宋体" w:hAnsi="宋体" w:eastAsia="宋体"/>
                <w:b w:val="0"/>
                <w:color w:val="222222"/>
                <w:sz w:val="19"/>
              </w:rPr>
              <w:t>拥有信息优势的机构资金</w:t>
            </w:r>
          </w:p>
        </w:tc>
        <w:tc>
          <w:tcPr>
            <w:tcW w:w="3324" w:type="dxa"/>
            <w:shd w:val="clear" w:color="auto" w:fill="EEF2F7"/>
          </w:tcPr>
          <w:p w14:paraId="24206982">
            <w:pPr>
              <w:spacing w:before="0" w:after="0" w:line="240" w:lineRule="auto"/>
            </w:pPr>
            <w:r>
              <w:rPr>
                <w:rFonts w:ascii="宋体" w:hAnsi="宋体" w:eastAsia="宋体"/>
                <w:b w:val="0"/>
                <w:color w:val="222222"/>
                <w:sz w:val="19"/>
              </w:rPr>
              <w:t>信息优势</w:t>
            </w:r>
          </w:p>
        </w:tc>
        <w:tc>
          <w:tcPr>
            <w:tcW w:w="3324" w:type="dxa"/>
            <w:shd w:val="clear" w:color="auto" w:fill="EEF2F7"/>
          </w:tcPr>
          <w:p w14:paraId="40588B8E">
            <w:pPr>
              <w:spacing w:before="0" w:after="0" w:line="240" w:lineRule="auto"/>
            </w:pPr>
            <w:r>
              <w:rPr>
                <w:rFonts w:ascii="宋体" w:hAnsi="宋体" w:eastAsia="宋体"/>
                <w:b w:val="0"/>
                <w:color w:val="222222"/>
                <w:sz w:val="19"/>
              </w:rPr>
              <w:t>先于市场行动，布局或派发</w:t>
            </w:r>
          </w:p>
        </w:tc>
      </w:tr>
      <w:tr w14:paraId="636A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14:paraId="501A6B1B">
            <w:pPr>
              <w:spacing w:before="0" w:after="0" w:line="240" w:lineRule="auto"/>
            </w:pPr>
            <w:r>
              <w:rPr>
                <w:rFonts w:ascii="宋体" w:hAnsi="宋体" w:eastAsia="宋体"/>
                <w:b w:val="0"/>
                <w:color w:val="222222"/>
                <w:sz w:val="19"/>
              </w:rPr>
              <w:t>专业的流动性提供商（做市商）</w:t>
            </w:r>
          </w:p>
        </w:tc>
        <w:tc>
          <w:tcPr>
            <w:tcW w:w="3324" w:type="dxa"/>
          </w:tcPr>
          <w:p w14:paraId="27EDDCBA">
            <w:pPr>
              <w:spacing w:before="0" w:after="0" w:line="240" w:lineRule="auto"/>
            </w:pPr>
            <w:r>
              <w:rPr>
                <w:rFonts w:ascii="宋体" w:hAnsi="宋体" w:eastAsia="宋体"/>
                <w:b w:val="0"/>
                <w:color w:val="222222"/>
                <w:sz w:val="19"/>
              </w:rPr>
              <w:t>提供流动性</w:t>
            </w:r>
          </w:p>
        </w:tc>
        <w:tc>
          <w:tcPr>
            <w:tcW w:w="3324" w:type="dxa"/>
          </w:tcPr>
          <w:p w14:paraId="4FBF31BE">
            <w:pPr>
              <w:spacing w:before="0" w:after="0" w:line="240" w:lineRule="auto"/>
            </w:pPr>
            <w:r>
              <w:rPr>
                <w:rFonts w:ascii="宋体" w:hAnsi="宋体" w:eastAsia="宋体"/>
                <w:b w:val="0"/>
                <w:color w:val="222222"/>
                <w:sz w:val="19"/>
              </w:rPr>
              <w:t>通过流动性获利</w:t>
            </w:r>
          </w:p>
        </w:tc>
      </w:tr>
    </w:tbl>
    <w:p w14:paraId="6AFB7965">
      <w:pPr>
        <w:spacing w:before="40" w:after="40" w:line="259" w:lineRule="auto"/>
      </w:pPr>
    </w:p>
    <w:p w14:paraId="3F4E9694">
      <w:pPr>
        <w:spacing w:before="100" w:after="40" w:line="259" w:lineRule="auto"/>
      </w:pPr>
      <w:r>
        <w:rPr>
          <w:rFonts w:ascii="微软雅黑" w:hAnsi="微软雅黑" w:eastAsia="微软雅黑"/>
          <w:b/>
          <w:color w:val="2E4A6B"/>
          <w:sz w:val="23"/>
        </w:rPr>
        <w:t>2.2 四个核心分析维度</w:t>
      </w:r>
    </w:p>
    <w:p w14:paraId="3F1184C4">
      <w:pPr>
        <w:spacing w:before="0" w:after="40" w:line="259" w:lineRule="auto"/>
      </w:pPr>
      <w:r>
        <w:rPr>
          <w:rFonts w:ascii="宋体" w:hAnsi="宋体" w:eastAsia="宋体"/>
          <w:b w:val="0"/>
          <w:color w:val="222222"/>
          <w:sz w:val="21"/>
        </w:rPr>
        <w:t>基于上述分类，策略构建了四个核心分析维度：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7"/>
        <w:gridCol w:w="2208"/>
        <w:gridCol w:w="2233"/>
        <w:gridCol w:w="2208"/>
      </w:tblGrid>
      <w:tr w14:paraId="452A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2E4A6B"/>
          </w:tcPr>
          <w:p w14:paraId="2CB93CF3">
            <w:pPr>
              <w:spacing w:before="0" w:after="0" w:line="240" w:lineRule="auto"/>
            </w:pPr>
            <w:r>
              <w:rPr>
                <w:rFonts w:ascii="微软雅黑" w:hAnsi="微软雅黑" w:eastAsia="微软雅黑"/>
                <w:b/>
                <w:color w:val="FFFFFF"/>
                <w:sz w:val="19"/>
              </w:rPr>
              <w:t>序号</w:t>
            </w:r>
          </w:p>
        </w:tc>
        <w:tc>
          <w:tcPr>
            <w:tcW w:w="2493" w:type="dxa"/>
            <w:shd w:val="clear" w:color="auto" w:fill="2E4A6B"/>
          </w:tcPr>
          <w:p w14:paraId="3302CF9B">
            <w:pPr>
              <w:spacing w:before="0" w:after="0" w:line="240" w:lineRule="auto"/>
            </w:pPr>
            <w:r>
              <w:rPr>
                <w:rFonts w:ascii="微软雅黑" w:hAnsi="微软雅黑" w:eastAsia="微软雅黑"/>
                <w:b/>
                <w:color w:val="FFFFFF"/>
                <w:sz w:val="19"/>
              </w:rPr>
              <w:t>模块</w:t>
            </w:r>
          </w:p>
        </w:tc>
        <w:tc>
          <w:tcPr>
            <w:tcW w:w="2493" w:type="dxa"/>
            <w:shd w:val="clear" w:color="auto" w:fill="2E4A6B"/>
          </w:tcPr>
          <w:p w14:paraId="29D4010F">
            <w:pPr>
              <w:spacing w:before="0" w:after="0" w:line="240" w:lineRule="auto"/>
            </w:pPr>
            <w:r>
              <w:rPr>
                <w:rFonts w:ascii="微软雅黑" w:hAnsi="微软雅黑" w:eastAsia="微软雅黑"/>
                <w:b/>
                <w:color w:val="FFFFFF"/>
                <w:sz w:val="19"/>
              </w:rPr>
              <w:t>识别方法</w:t>
            </w:r>
          </w:p>
        </w:tc>
        <w:tc>
          <w:tcPr>
            <w:tcW w:w="2493" w:type="dxa"/>
            <w:shd w:val="clear" w:color="auto" w:fill="2E4A6B"/>
          </w:tcPr>
          <w:p w14:paraId="118366C7">
            <w:pPr>
              <w:spacing w:before="0" w:after="0" w:line="240" w:lineRule="auto"/>
            </w:pPr>
            <w:r>
              <w:rPr>
                <w:rFonts w:ascii="微软雅黑" w:hAnsi="微软雅黑" w:eastAsia="微软雅黑"/>
                <w:b/>
                <w:color w:val="FFFFFF"/>
                <w:sz w:val="19"/>
              </w:rPr>
              <w:t>博弈论依据</w:t>
            </w:r>
          </w:p>
        </w:tc>
      </w:tr>
      <w:tr w14:paraId="76838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tcPr>
          <w:p w14:paraId="4A00091D">
            <w:pPr>
              <w:spacing w:before="0" w:after="0" w:line="240" w:lineRule="auto"/>
            </w:pPr>
            <w:r>
              <w:rPr>
                <w:rFonts w:ascii="宋体" w:hAnsi="宋体" w:eastAsia="宋体"/>
                <w:b w:val="0"/>
                <w:color w:val="222222"/>
                <w:sz w:val="19"/>
              </w:rPr>
              <w:t>第一</w:t>
            </w:r>
          </w:p>
        </w:tc>
        <w:tc>
          <w:tcPr>
            <w:tcW w:w="2493" w:type="dxa"/>
          </w:tcPr>
          <w:p w14:paraId="527BAC92">
            <w:pPr>
              <w:spacing w:before="0" w:after="0" w:line="240" w:lineRule="auto"/>
            </w:pPr>
            <w:r>
              <w:rPr>
                <w:rFonts w:ascii="宋体" w:hAnsi="宋体" w:eastAsia="宋体"/>
                <w:b w:val="0"/>
                <w:color w:val="222222"/>
                <w:sz w:val="19"/>
              </w:rPr>
              <w:t>羊群行为检测模块</w:t>
            </w:r>
          </w:p>
        </w:tc>
        <w:tc>
          <w:tcPr>
            <w:tcW w:w="2493" w:type="dxa"/>
          </w:tcPr>
          <w:p w14:paraId="0CC437F2">
            <w:pPr>
              <w:spacing w:before="0" w:after="0" w:line="240" w:lineRule="auto"/>
            </w:pPr>
            <w:r>
              <w:rPr>
                <w:rFonts w:ascii="宋体" w:hAnsi="宋体" w:eastAsia="宋体"/>
                <w:b w:val="0"/>
                <w:color w:val="222222"/>
                <w:sz w:val="19"/>
              </w:rPr>
              <w:t>通过 RSI 极值、成交量异常和价格动量偏离三重验证</w:t>
            </w:r>
          </w:p>
        </w:tc>
        <w:tc>
          <w:tcPr>
            <w:tcW w:w="2493" w:type="dxa"/>
          </w:tcPr>
          <w:p w14:paraId="659F2A0D">
            <w:pPr>
              <w:spacing w:before="0" w:after="0" w:line="240" w:lineRule="auto"/>
            </w:pPr>
            <w:r>
              <w:rPr>
                <w:rFonts w:ascii="宋体" w:hAnsi="宋体" w:eastAsia="宋体"/>
                <w:b w:val="0"/>
                <w:color w:val="222222"/>
                <w:sz w:val="19"/>
              </w:rPr>
              <w:t>精确识别市场情绪的极端状态</w:t>
            </w:r>
          </w:p>
        </w:tc>
      </w:tr>
      <w:tr w14:paraId="67D8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EEF2F7"/>
          </w:tcPr>
          <w:p w14:paraId="43133D65">
            <w:pPr>
              <w:spacing w:before="0" w:after="0" w:line="240" w:lineRule="auto"/>
            </w:pPr>
            <w:r>
              <w:rPr>
                <w:rFonts w:ascii="宋体" w:hAnsi="宋体" w:eastAsia="宋体"/>
                <w:b w:val="0"/>
                <w:color w:val="222222"/>
                <w:sz w:val="19"/>
              </w:rPr>
              <w:t>第二</w:t>
            </w:r>
          </w:p>
        </w:tc>
        <w:tc>
          <w:tcPr>
            <w:tcW w:w="2493" w:type="dxa"/>
            <w:shd w:val="clear" w:color="auto" w:fill="EEF2F7"/>
          </w:tcPr>
          <w:p w14:paraId="78AE5C86">
            <w:pPr>
              <w:spacing w:before="0" w:after="0" w:line="240" w:lineRule="auto"/>
            </w:pPr>
            <w:r>
              <w:rPr>
                <w:rFonts w:ascii="宋体" w:hAnsi="宋体" w:eastAsia="宋体"/>
                <w:b w:val="0"/>
                <w:color w:val="222222"/>
                <w:sz w:val="19"/>
              </w:rPr>
              <w:t>流动性陷阱识别系统</w:t>
            </w:r>
          </w:p>
        </w:tc>
        <w:tc>
          <w:tcPr>
            <w:tcW w:w="2493" w:type="dxa"/>
            <w:shd w:val="clear" w:color="auto" w:fill="EEF2F7"/>
          </w:tcPr>
          <w:p w14:paraId="669C544B">
            <w:pPr>
              <w:spacing w:before="0" w:after="0" w:line="240" w:lineRule="auto"/>
            </w:pPr>
            <w:r>
              <w:rPr>
                <w:rFonts w:ascii="宋体" w:hAnsi="宋体" w:eastAsia="宋体"/>
                <w:b w:val="0"/>
                <w:color w:val="222222"/>
                <w:sz w:val="19"/>
              </w:rPr>
              <w:t>监控技术突破与心理价位的结合</w:t>
            </w:r>
          </w:p>
        </w:tc>
        <w:tc>
          <w:tcPr>
            <w:tcW w:w="2493" w:type="dxa"/>
            <w:shd w:val="clear" w:color="auto" w:fill="EEF2F7"/>
          </w:tcPr>
          <w:p w14:paraId="1B05C9A3">
            <w:pPr>
              <w:spacing w:before="0" w:after="0" w:line="240" w:lineRule="auto"/>
            </w:pPr>
            <w:r>
              <w:rPr>
                <w:rFonts w:ascii="宋体" w:hAnsi="宋体" w:eastAsia="宋体"/>
                <w:b w:val="0"/>
                <w:color w:val="222222"/>
                <w:sz w:val="19"/>
              </w:rPr>
              <w:t>识别大资金利用散户止损进行的流动性猎杀</w:t>
            </w:r>
          </w:p>
        </w:tc>
      </w:tr>
      <w:tr w14:paraId="7E0CB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tcPr>
          <w:p w14:paraId="68D8FCF0">
            <w:pPr>
              <w:spacing w:before="0" w:after="0" w:line="240" w:lineRule="auto"/>
            </w:pPr>
            <w:r>
              <w:rPr>
                <w:rFonts w:ascii="宋体" w:hAnsi="宋体" w:eastAsia="宋体"/>
                <w:b w:val="0"/>
                <w:color w:val="222222"/>
                <w:sz w:val="19"/>
              </w:rPr>
              <w:t>第三</w:t>
            </w:r>
          </w:p>
        </w:tc>
        <w:tc>
          <w:tcPr>
            <w:tcW w:w="2493" w:type="dxa"/>
          </w:tcPr>
          <w:p w14:paraId="24D152C3">
            <w:pPr>
              <w:spacing w:before="0" w:after="0" w:line="240" w:lineRule="auto"/>
            </w:pPr>
            <w:r>
              <w:rPr>
                <w:rFonts w:ascii="宋体" w:hAnsi="宋体" w:eastAsia="宋体"/>
                <w:b w:val="0"/>
                <w:color w:val="222222"/>
                <w:sz w:val="19"/>
              </w:rPr>
              <w:t>机构资金流追踪机制</w:t>
            </w:r>
          </w:p>
        </w:tc>
        <w:tc>
          <w:tcPr>
            <w:tcW w:w="2493" w:type="dxa"/>
          </w:tcPr>
          <w:p w14:paraId="1592BC4B">
            <w:pPr>
              <w:spacing w:before="0" w:after="0" w:line="240" w:lineRule="auto"/>
            </w:pPr>
            <w:r>
              <w:rPr>
                <w:rFonts w:ascii="宋体" w:hAnsi="宋体" w:eastAsia="宋体"/>
                <w:b w:val="0"/>
                <w:color w:val="222222"/>
                <w:sz w:val="19"/>
              </w:rPr>
              <w:t>通过累计分配指标和聪明钱指数</w:t>
            </w:r>
          </w:p>
        </w:tc>
        <w:tc>
          <w:tcPr>
            <w:tcW w:w="2493" w:type="dxa"/>
          </w:tcPr>
          <w:p w14:paraId="3FA1235E">
            <w:pPr>
              <w:spacing w:before="0" w:after="0" w:line="240" w:lineRule="auto"/>
            </w:pPr>
            <w:r>
              <w:rPr>
                <w:rFonts w:ascii="宋体" w:hAnsi="宋体" w:eastAsia="宋体"/>
                <w:b w:val="0"/>
                <w:color w:val="222222"/>
                <w:sz w:val="19"/>
              </w:rPr>
              <w:t>实时跟踪专业资金的真实意图和方向</w:t>
            </w:r>
          </w:p>
        </w:tc>
      </w:tr>
      <w:tr w14:paraId="5AB1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EEF2F7"/>
          </w:tcPr>
          <w:p w14:paraId="1AD06FFF">
            <w:pPr>
              <w:spacing w:before="0" w:after="0" w:line="240" w:lineRule="auto"/>
            </w:pPr>
            <w:r>
              <w:rPr>
                <w:rFonts w:ascii="宋体" w:hAnsi="宋体" w:eastAsia="宋体"/>
                <w:b w:val="0"/>
                <w:color w:val="222222"/>
                <w:sz w:val="19"/>
              </w:rPr>
              <w:t>第四</w:t>
            </w:r>
          </w:p>
        </w:tc>
        <w:tc>
          <w:tcPr>
            <w:tcW w:w="2493" w:type="dxa"/>
            <w:shd w:val="clear" w:color="auto" w:fill="EEF2F7"/>
          </w:tcPr>
          <w:p w14:paraId="03311A34">
            <w:pPr>
              <w:spacing w:before="0" w:after="0" w:line="240" w:lineRule="auto"/>
            </w:pPr>
            <w:r>
              <w:rPr>
                <w:rFonts w:ascii="宋体" w:hAnsi="宋体" w:eastAsia="宋体"/>
                <w:b w:val="0"/>
                <w:color w:val="222222"/>
                <w:sz w:val="19"/>
              </w:rPr>
              <w:t>纳什均衡定价模型</w:t>
            </w:r>
          </w:p>
        </w:tc>
        <w:tc>
          <w:tcPr>
            <w:tcW w:w="2493" w:type="dxa"/>
            <w:shd w:val="clear" w:color="auto" w:fill="EEF2F7"/>
          </w:tcPr>
          <w:p w14:paraId="413706F0">
            <w:pPr>
              <w:spacing w:before="0" w:after="0" w:line="240" w:lineRule="auto"/>
            </w:pPr>
            <w:r>
              <w:rPr>
                <w:rFonts w:ascii="宋体" w:hAnsi="宋体" w:eastAsia="宋体"/>
                <w:b w:val="0"/>
                <w:color w:val="222222"/>
                <w:sz w:val="19"/>
              </w:rPr>
              <w:t>运用统计学方法计算理论均衡价格区间</w:t>
            </w:r>
          </w:p>
        </w:tc>
        <w:tc>
          <w:tcPr>
            <w:tcW w:w="2493" w:type="dxa"/>
            <w:shd w:val="clear" w:color="auto" w:fill="EEF2F7"/>
          </w:tcPr>
          <w:p w14:paraId="3B258E2D">
            <w:pPr>
              <w:spacing w:before="0" w:after="0" w:line="240" w:lineRule="auto"/>
            </w:pPr>
            <w:r>
              <w:rPr>
                <w:rFonts w:ascii="宋体" w:hAnsi="宋体" w:eastAsia="宋体"/>
                <w:b w:val="0"/>
                <w:color w:val="222222"/>
                <w:sz w:val="19"/>
              </w:rPr>
              <w:t>识别价格偏离均衡的状态</w:t>
            </w:r>
          </w:p>
        </w:tc>
      </w:tr>
    </w:tbl>
    <w:p w14:paraId="2161153E">
      <w:pPr>
        <w:spacing w:before="40" w:after="40" w:line="259" w:lineRule="auto"/>
      </w:pPr>
    </w:p>
    <w:p w14:paraId="145F95F9">
      <w:pPr>
        <w:spacing w:before="100" w:after="40" w:line="259" w:lineRule="auto"/>
      </w:pPr>
      <w:r>
        <w:rPr>
          <w:rFonts w:ascii="微软雅黑" w:hAnsi="微软雅黑" w:eastAsia="微软雅黑"/>
          <w:b/>
          <w:color w:val="2E4A6B"/>
          <w:sz w:val="23"/>
        </w:rPr>
        <w:t>2.3 三类核心信号</w:t>
      </w:r>
    </w:p>
    <w:p w14:paraId="29D4E337">
      <w:pPr>
        <w:spacing w:before="0" w:after="40" w:line="259" w:lineRule="auto"/>
      </w:pPr>
      <w:r>
        <w:rPr>
          <w:rFonts w:ascii="宋体" w:hAnsi="宋体" w:eastAsia="宋体"/>
          <w:b w:val="0"/>
          <w:color w:val="222222"/>
          <w:sz w:val="21"/>
        </w:rPr>
        <w:t>基于这四个分析维度，策略生成三类核心信号：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78A0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2E4A6B"/>
          </w:tcPr>
          <w:p w14:paraId="79DD44BE">
            <w:pPr>
              <w:spacing w:before="0" w:after="0" w:line="240" w:lineRule="auto"/>
            </w:pPr>
            <w:r>
              <w:rPr>
                <w:rFonts w:ascii="微软雅黑" w:hAnsi="微软雅黑" w:eastAsia="微软雅黑"/>
                <w:b/>
                <w:color w:val="FFFFFF"/>
                <w:sz w:val="19"/>
              </w:rPr>
              <w:t>信号</w:t>
            </w:r>
          </w:p>
        </w:tc>
        <w:tc>
          <w:tcPr>
            <w:tcW w:w="3324" w:type="dxa"/>
            <w:shd w:val="clear" w:color="auto" w:fill="2E4A6B"/>
          </w:tcPr>
          <w:p w14:paraId="3A420CA1">
            <w:pPr>
              <w:spacing w:before="0" w:after="0" w:line="240" w:lineRule="auto"/>
            </w:pPr>
            <w:r>
              <w:rPr>
                <w:rFonts w:ascii="微软雅黑" w:hAnsi="微软雅黑" w:eastAsia="微软雅黑"/>
                <w:b/>
                <w:color w:val="FFFFFF"/>
                <w:sz w:val="19"/>
              </w:rPr>
              <w:t>触发逻辑</w:t>
            </w:r>
          </w:p>
        </w:tc>
        <w:tc>
          <w:tcPr>
            <w:tcW w:w="3324" w:type="dxa"/>
            <w:shd w:val="clear" w:color="auto" w:fill="2E4A6B"/>
          </w:tcPr>
          <w:p w14:paraId="598E3EA9">
            <w:pPr>
              <w:spacing w:before="0" w:after="0" w:line="240" w:lineRule="auto"/>
            </w:pPr>
            <w:r>
              <w:rPr>
                <w:rFonts w:ascii="微软雅黑" w:hAnsi="微软雅黑" w:eastAsia="微软雅黑"/>
                <w:b/>
                <w:color w:val="FFFFFF"/>
                <w:sz w:val="19"/>
              </w:rPr>
              <w:t>捕捉的机会</w:t>
            </w:r>
          </w:p>
        </w:tc>
      </w:tr>
      <w:tr w14:paraId="219D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14:paraId="1C28F10B">
            <w:pPr>
              <w:spacing w:before="0" w:after="0" w:line="240" w:lineRule="auto"/>
            </w:pPr>
            <w:r>
              <w:rPr>
                <w:rFonts w:ascii="宋体" w:hAnsi="宋体" w:eastAsia="宋体"/>
                <w:b w:val="0"/>
                <w:color w:val="222222"/>
                <w:sz w:val="19"/>
              </w:rPr>
              <w:t>逆势信号</w:t>
            </w:r>
          </w:p>
        </w:tc>
        <w:tc>
          <w:tcPr>
            <w:tcW w:w="3324" w:type="dxa"/>
          </w:tcPr>
          <w:p w14:paraId="52E7128A">
            <w:pPr>
              <w:spacing w:before="0" w:after="0" w:line="240" w:lineRule="auto"/>
            </w:pPr>
            <w:r>
              <w:rPr>
                <w:rFonts w:ascii="宋体" w:hAnsi="宋体" w:eastAsia="宋体"/>
                <w:b w:val="0"/>
                <w:color w:val="222222"/>
                <w:sz w:val="19"/>
              </w:rPr>
              <w:t>结合羊群行为和流动性陷阱</w:t>
            </w:r>
          </w:p>
        </w:tc>
        <w:tc>
          <w:tcPr>
            <w:tcW w:w="3324" w:type="dxa"/>
          </w:tcPr>
          <w:p w14:paraId="2326CFC7">
            <w:pPr>
              <w:spacing w:before="0" w:after="0" w:line="240" w:lineRule="auto"/>
            </w:pPr>
            <w:r>
              <w:rPr>
                <w:rFonts w:ascii="宋体" w:hAnsi="宋体" w:eastAsia="宋体"/>
                <w:b w:val="0"/>
                <w:color w:val="222222"/>
                <w:sz w:val="19"/>
              </w:rPr>
              <w:t>在群体非理性与市场操纵中寻找反向机会</w:t>
            </w:r>
          </w:p>
        </w:tc>
      </w:tr>
      <w:tr w14:paraId="37E0B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EEF2F7"/>
          </w:tcPr>
          <w:p w14:paraId="19CC2AF0">
            <w:pPr>
              <w:spacing w:before="0" w:after="0" w:line="240" w:lineRule="auto"/>
            </w:pPr>
            <w:r>
              <w:rPr>
                <w:rFonts w:ascii="宋体" w:hAnsi="宋体" w:eastAsia="宋体"/>
                <w:b w:val="0"/>
                <w:color w:val="222222"/>
                <w:sz w:val="19"/>
              </w:rPr>
              <w:t>动量信号</w:t>
            </w:r>
          </w:p>
        </w:tc>
        <w:tc>
          <w:tcPr>
            <w:tcW w:w="3324" w:type="dxa"/>
            <w:shd w:val="clear" w:color="auto" w:fill="EEF2F7"/>
          </w:tcPr>
          <w:p w14:paraId="2F8EF4FC">
            <w:pPr>
              <w:spacing w:before="0" w:after="0" w:line="240" w:lineRule="auto"/>
            </w:pPr>
            <w:r>
              <w:rPr>
                <w:rFonts w:ascii="宋体" w:hAnsi="宋体" w:eastAsia="宋体"/>
                <w:b w:val="0"/>
                <w:color w:val="222222"/>
                <w:sz w:val="19"/>
              </w:rPr>
              <w:t>跟随机构资金流向和均衡偏离状态</w:t>
            </w:r>
          </w:p>
        </w:tc>
        <w:tc>
          <w:tcPr>
            <w:tcW w:w="3324" w:type="dxa"/>
            <w:shd w:val="clear" w:color="auto" w:fill="EEF2F7"/>
          </w:tcPr>
          <w:p w14:paraId="44185DC3">
            <w:pPr>
              <w:spacing w:before="0" w:after="0" w:line="240" w:lineRule="auto"/>
            </w:pPr>
            <w:r>
              <w:rPr>
                <w:rFonts w:ascii="宋体" w:hAnsi="宋体" w:eastAsia="宋体"/>
                <w:b w:val="0"/>
                <w:color w:val="222222"/>
                <w:sz w:val="19"/>
              </w:rPr>
              <w:t>捕捉趋势性机会</w:t>
            </w:r>
          </w:p>
        </w:tc>
      </w:tr>
      <w:tr w14:paraId="78A4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14:paraId="3EB5BAEB">
            <w:pPr>
              <w:spacing w:before="0" w:after="0" w:line="240" w:lineRule="auto"/>
            </w:pPr>
            <w:r>
              <w:rPr>
                <w:rFonts w:ascii="宋体" w:hAnsi="宋体" w:eastAsia="宋体"/>
                <w:b w:val="0"/>
                <w:color w:val="222222"/>
                <w:sz w:val="19"/>
              </w:rPr>
              <w:t>均衡回归信号</w:t>
            </w:r>
          </w:p>
        </w:tc>
        <w:tc>
          <w:tcPr>
            <w:tcW w:w="3324" w:type="dxa"/>
          </w:tcPr>
          <w:p w14:paraId="24A62E89">
            <w:pPr>
              <w:spacing w:before="0" w:after="0" w:line="240" w:lineRule="auto"/>
            </w:pPr>
            <w:r>
              <w:rPr>
                <w:rFonts w:ascii="宋体" w:hAnsi="宋体" w:eastAsia="宋体"/>
                <w:b w:val="0"/>
                <w:color w:val="222222"/>
                <w:sz w:val="19"/>
              </w:rPr>
              <w:t>利用价格修正机制</w:t>
            </w:r>
          </w:p>
        </w:tc>
        <w:tc>
          <w:tcPr>
            <w:tcW w:w="3324" w:type="dxa"/>
          </w:tcPr>
          <w:p w14:paraId="12C059F0">
            <w:pPr>
              <w:spacing w:before="0" w:after="0" w:line="240" w:lineRule="auto"/>
            </w:pPr>
            <w:r>
              <w:rPr>
                <w:rFonts w:ascii="宋体" w:hAnsi="宋体" w:eastAsia="宋体"/>
                <w:b w:val="0"/>
                <w:color w:val="222222"/>
                <w:sz w:val="19"/>
              </w:rPr>
              <w:t>当偏离均衡时捕捉回归动力</w:t>
            </w:r>
          </w:p>
        </w:tc>
      </w:tr>
    </w:tbl>
    <w:p w14:paraId="502DBDCC">
      <w:pPr>
        <w:spacing w:before="40" w:after="40" w:line="259" w:lineRule="auto"/>
      </w:pPr>
    </w:p>
    <w:p w14:paraId="3967A565">
      <w:pPr>
        <w:spacing w:before="0" w:after="40" w:line="259" w:lineRule="auto"/>
      </w:pPr>
      <w:r>
        <w:rPr>
          <w:rFonts w:ascii="宋体" w:hAnsi="宋体" w:eastAsia="宋体"/>
          <w:b w:val="0"/>
          <w:color w:val="222222"/>
          <w:sz w:val="21"/>
        </w:rPr>
        <w:t>并配合动态仓位管理系统，实现风险与收益的最优配置。</w:t>
      </w:r>
    </w:p>
    <w:p w14:paraId="64B64818">
      <w:pPr>
        <w:spacing w:before="140" w:after="60" w:line="259" w:lineRule="auto"/>
      </w:pPr>
      <w:r>
        <w:rPr>
          <w:rFonts w:ascii="微软雅黑" w:hAnsi="微软雅黑" w:eastAsia="微软雅黑"/>
          <w:b/>
          <w:color w:val="2E4A6B"/>
          <w:sz w:val="26"/>
        </w:rPr>
        <w:t>三、核心分析维度</w:t>
      </w:r>
      <w:r>
        <w:rPr>
          <w:rFonts w:hint="eastAsia" w:ascii="微软雅黑" w:hAnsi="微软雅黑" w:eastAsia="微软雅黑"/>
          <w:b/>
          <w:color w:val="2E4A6B"/>
          <w:sz w:val="26"/>
          <w:lang w:val="en-US" w:eastAsia="zh-CN"/>
        </w:rPr>
        <w:t>的</w:t>
      </w:r>
      <w:r>
        <w:rPr>
          <w:rFonts w:ascii="微软雅黑" w:hAnsi="微软雅黑" w:eastAsia="微软雅黑"/>
          <w:b/>
          <w:color w:val="2E4A6B"/>
          <w:sz w:val="26"/>
        </w:rPr>
        <w:t>参数设计</w:t>
      </w:r>
    </w:p>
    <w:p w14:paraId="137E5E82">
      <w:pPr>
        <w:spacing w:before="0" w:after="40" w:line="259" w:lineRule="auto"/>
      </w:pPr>
      <w:r>
        <w:rPr>
          <w:rFonts w:ascii="宋体" w:hAnsi="宋体" w:eastAsia="宋体"/>
          <w:b w:val="0"/>
          <w:color w:val="222222"/>
          <w:sz w:val="21"/>
        </w:rPr>
        <w:t>参数设计体现了博弈论的系统性思维和对市场参与者行为的深刻理解。</w:t>
      </w:r>
    </w:p>
    <w:p w14:paraId="0A49E268">
      <w:pPr>
        <w:pStyle w:val="16"/>
        <w:spacing w:before="0" w:after="20" w:line="259" w:lineRule="auto"/>
      </w:pPr>
      <w:r>
        <w:rPr>
          <w:rFonts w:ascii="宋体" w:hAnsi="宋体" w:eastAsia="宋体"/>
          <w:b/>
          <w:color w:val="222222"/>
          <w:sz w:val="21"/>
        </w:rPr>
        <w:t>羊群行为分析模块</w:t>
      </w:r>
      <w:r>
        <w:rPr>
          <w:rFonts w:ascii="宋体" w:hAnsi="宋体" w:eastAsia="宋体"/>
          <w:b w:val="0"/>
          <w:color w:val="222222"/>
          <w:sz w:val="21"/>
        </w:rPr>
        <w:t>：RSI 周期取 14 天，这是市场普遍认知的超买超卖标准——正因为大众都在关注这个指标，它才成为羊群行为的重要出发点。当 RSI 达到 70 或 30 时，大量技术派交易者会采取相同行动，形成羊群效应。成交量 MA 周期取 5 天、羊群阈值</w:t>
      </w:r>
      <w:r>
        <w:rPr>
          <w:rFonts w:hint="eastAsia"/>
          <w:b w:val="0"/>
          <w:color w:val="222222"/>
          <w:sz w:val="21"/>
          <w:lang w:val="en-US" w:eastAsia="zh-CN"/>
        </w:rPr>
        <w:t>为</w:t>
      </w:r>
      <w:r>
        <w:rPr>
          <w:rFonts w:hint="eastAsia"/>
          <w:b w:val="0"/>
          <w:color w:val="222222"/>
          <w:sz w:val="21"/>
          <w:lang w:eastAsia="zh-CN"/>
        </w:rPr>
        <w:t>成交量异常放大</w:t>
      </w:r>
      <w:r>
        <w:rPr>
          <w:rFonts w:ascii="宋体" w:hAnsi="宋体" w:eastAsia="宋体"/>
          <w:b w:val="0"/>
          <w:color w:val="222222"/>
          <w:sz w:val="21"/>
        </w:rPr>
        <w:t>2</w:t>
      </w:r>
      <w:r>
        <w:rPr>
          <w:rFonts w:hint="eastAsia"/>
          <w:b w:val="0"/>
          <w:color w:val="222222"/>
          <w:sz w:val="21"/>
          <w:lang w:val="en-US" w:eastAsia="zh-CN"/>
        </w:rPr>
        <w:t>倍以上</w:t>
      </w:r>
      <w:r>
        <w:rPr>
          <w:rFonts w:ascii="宋体" w:hAnsi="宋体" w:eastAsia="宋体"/>
          <w:b w:val="0"/>
          <w:color w:val="222222"/>
          <w:sz w:val="21"/>
        </w:rPr>
        <w:t>的设计，确保策略能够识别短期内的情绪爆发，快速响应市场情绪的突变。</w:t>
      </w:r>
    </w:p>
    <w:p w14:paraId="1AC289F4">
      <w:pPr>
        <w:pStyle w:val="16"/>
        <w:spacing w:before="0" w:after="20" w:line="259" w:lineRule="auto"/>
      </w:pPr>
      <w:r>
        <w:rPr>
          <w:rFonts w:ascii="宋体" w:hAnsi="宋体" w:eastAsia="宋体"/>
          <w:b/>
          <w:color w:val="222222"/>
          <w:sz w:val="21"/>
        </w:rPr>
        <w:t>流动性分析</w:t>
      </w:r>
      <w:r>
        <w:rPr>
          <w:rFonts w:ascii="宋体" w:hAnsi="宋体" w:eastAsia="宋体"/>
          <w:b w:val="0"/>
          <w:color w:val="222222"/>
          <w:sz w:val="21"/>
        </w:rPr>
        <w:t>：</w:t>
      </w:r>
      <w:r>
        <w:rPr>
          <w:rFonts w:hint="eastAsia"/>
          <w:b w:val="0"/>
          <w:color w:val="222222"/>
          <w:sz w:val="21"/>
          <w:lang w:eastAsia="zh-CN"/>
        </w:rPr>
        <w:t>流动性扫描周期</w:t>
      </w:r>
      <w:r>
        <w:rPr>
          <w:rFonts w:hint="eastAsia"/>
          <w:b w:val="0"/>
          <w:color w:val="222222"/>
          <w:sz w:val="21"/>
          <w:lang w:val="en-US" w:eastAsia="zh-CN"/>
        </w:rPr>
        <w:t>5</w:t>
      </w:r>
      <w:r>
        <w:rPr>
          <w:rFonts w:ascii="宋体" w:hAnsi="宋体" w:eastAsia="宋体"/>
          <w:b w:val="0"/>
          <w:color w:val="222222"/>
          <w:sz w:val="21"/>
        </w:rPr>
        <w:t>天</w:t>
      </w:r>
      <w:r>
        <w:rPr>
          <w:rFonts w:hint="eastAsia"/>
          <w:b w:val="0"/>
          <w:color w:val="222222"/>
          <w:sz w:val="21"/>
          <w:lang w:eastAsia="zh-CN"/>
        </w:rPr>
        <w:t>，</w:t>
      </w:r>
      <w:r>
        <w:rPr>
          <w:rFonts w:ascii="宋体" w:hAnsi="宋体" w:eastAsia="宋体"/>
          <w:b w:val="0"/>
          <w:color w:val="222222"/>
          <w:sz w:val="21"/>
        </w:rPr>
        <w:t>专注于捕捉短期流动性博弈，这是大资金进行快速猎杀的典型事件窗口。当大部分散户关注的技术指标在短期内被突破时，正是流动性陷阱最容易形成的时机。</w:t>
      </w:r>
    </w:p>
    <w:p w14:paraId="1E754161">
      <w:pPr>
        <w:pStyle w:val="16"/>
        <w:spacing w:before="0" w:after="20" w:line="259" w:lineRule="auto"/>
      </w:pPr>
      <w:r>
        <w:rPr>
          <w:rFonts w:ascii="宋体" w:hAnsi="宋体" w:eastAsia="宋体"/>
          <w:b/>
          <w:color w:val="222222"/>
          <w:sz w:val="21"/>
        </w:rPr>
        <w:t>机构资金流检测</w:t>
      </w:r>
      <w:r>
        <w:rPr>
          <w:rFonts w:ascii="宋体" w:hAnsi="宋体" w:eastAsia="宋体"/>
          <w:b w:val="0"/>
          <w:color w:val="222222"/>
          <w:sz w:val="21"/>
        </w:rPr>
        <w:t>：</w:t>
      </w:r>
      <w:r>
        <w:rPr>
          <w:rFonts w:hint="eastAsia"/>
          <w:b w:val="0"/>
          <w:color w:val="222222"/>
          <w:sz w:val="21"/>
          <w:lang w:eastAsia="zh-CN"/>
        </w:rPr>
        <w:t>机构成交量</w:t>
      </w:r>
      <w:r>
        <w:rPr>
          <w:rFonts w:hint="eastAsia"/>
          <w:b w:val="0"/>
          <w:color w:val="222222"/>
          <w:sz w:val="21"/>
          <w:lang w:val="en-US" w:eastAsia="zh-CN"/>
        </w:rPr>
        <w:t>2.5倍乘数。</w:t>
      </w:r>
      <w:r>
        <w:rPr>
          <w:rFonts w:ascii="宋体" w:hAnsi="宋体" w:eastAsia="宋体"/>
          <w:b w:val="0"/>
          <w:color w:val="222222"/>
          <w:sz w:val="21"/>
        </w:rPr>
        <w:t>2.5 倍成交量阈值，专门识别超出散户能力范围的大宗交易；</w:t>
      </w:r>
      <w:r>
        <w:rPr>
          <w:rFonts w:hint="eastAsia"/>
          <w:b w:val="0"/>
          <w:color w:val="222222"/>
          <w:sz w:val="21"/>
          <w:lang w:val="en-US" w:eastAsia="zh-CN"/>
        </w:rPr>
        <w:t>5</w:t>
      </w:r>
      <w:r>
        <w:rPr>
          <w:rFonts w:ascii="宋体" w:hAnsi="宋体" w:eastAsia="宋体"/>
          <w:b w:val="0"/>
          <w:color w:val="222222"/>
          <w:sz w:val="21"/>
        </w:rPr>
        <w:t>天</w:t>
      </w:r>
      <w:r>
        <w:rPr>
          <w:rFonts w:hint="eastAsia"/>
          <w:b w:val="0"/>
          <w:color w:val="222222"/>
          <w:sz w:val="21"/>
          <w:lang w:val="en-US" w:eastAsia="zh-CN"/>
        </w:rPr>
        <w:t>的机构</w:t>
      </w:r>
      <w:r>
        <w:rPr>
          <w:rFonts w:ascii="宋体" w:hAnsi="宋体" w:eastAsia="宋体"/>
          <w:b w:val="0"/>
          <w:color w:val="222222"/>
          <w:sz w:val="21"/>
        </w:rPr>
        <w:t xml:space="preserve"> MA 周期，能够有效识别机构的阶段布局意图。</w:t>
      </w:r>
    </w:p>
    <w:p w14:paraId="7F225755">
      <w:pPr>
        <w:pStyle w:val="16"/>
        <w:spacing w:before="0" w:after="20" w:line="259" w:lineRule="auto"/>
      </w:pPr>
      <w:r>
        <w:rPr>
          <w:rFonts w:ascii="宋体" w:hAnsi="宋体" w:eastAsia="宋体"/>
          <w:b/>
          <w:color w:val="222222"/>
          <w:sz w:val="21"/>
        </w:rPr>
        <w:t>纳什均衡参数</w:t>
      </w:r>
      <w:r>
        <w:rPr>
          <w:rFonts w:ascii="宋体" w:hAnsi="宋体" w:eastAsia="宋体"/>
          <w:b w:val="0"/>
          <w:color w:val="222222"/>
          <w:sz w:val="21"/>
        </w:rPr>
        <w:t>：</w:t>
      </w:r>
      <w:r>
        <w:rPr>
          <w:rFonts w:hint="eastAsia"/>
          <w:b w:val="0"/>
          <w:color w:val="222222"/>
          <w:sz w:val="21"/>
          <w:lang w:eastAsia="zh-CN"/>
        </w:rPr>
        <w:t>纳什均衡周期</w:t>
      </w:r>
      <w:r>
        <w:rPr>
          <w:rFonts w:hint="eastAsia"/>
          <w:b w:val="0"/>
          <w:color w:val="222222"/>
          <w:sz w:val="21"/>
          <w:lang w:val="en-US" w:eastAsia="zh-CN"/>
        </w:rPr>
        <w:t>4</w:t>
      </w:r>
      <w:r>
        <w:rPr>
          <w:rFonts w:ascii="宋体" w:hAnsi="宋体" w:eastAsia="宋体"/>
          <w:b w:val="0"/>
          <w:color w:val="222222"/>
          <w:sz w:val="21"/>
        </w:rPr>
        <w:t>天的超短周期设计，适应了加密市场的高频博弈特性（相比传统金融市场，数字资产的博弈节奏更快，参与者的预期形成和修正也更迅速）；2% 的</w:t>
      </w:r>
      <w:r>
        <w:rPr>
          <w:rFonts w:hint="eastAsia"/>
          <w:b w:val="0"/>
          <w:color w:val="222222"/>
          <w:sz w:val="21"/>
          <w:lang w:val="en-US" w:eastAsia="zh-CN"/>
        </w:rPr>
        <w:t>均衡</w:t>
      </w:r>
      <w:r>
        <w:rPr>
          <w:rFonts w:ascii="宋体" w:hAnsi="宋体" w:eastAsia="宋体"/>
          <w:b w:val="0"/>
          <w:color w:val="222222"/>
          <w:sz w:val="21"/>
        </w:rPr>
        <w:t>偏差率既考虑了市场的自然波动，又保持了均衡理论在高波动环境下的有效性。</w:t>
      </w:r>
    </w:p>
    <w:p w14:paraId="7B5DD2D7">
      <w:pPr>
        <w:pStyle w:val="16"/>
        <w:spacing w:before="0" w:after="20" w:line="259" w:lineRule="auto"/>
      </w:pPr>
      <w:r>
        <w:rPr>
          <w:rFonts w:ascii="宋体" w:hAnsi="宋体" w:eastAsia="宋体"/>
          <w:b/>
          <w:color w:val="222222"/>
          <w:sz w:val="21"/>
        </w:rPr>
        <w:t>止盈止损参数</w:t>
      </w:r>
      <w:r>
        <w:rPr>
          <w:rFonts w:ascii="宋体" w:hAnsi="宋体" w:eastAsia="宋体"/>
          <w:b w:val="0"/>
          <w:color w:val="222222"/>
          <w:sz w:val="21"/>
        </w:rPr>
        <w:t>：随后设置，确保交易风险可控。</w:t>
      </w:r>
    </w:p>
    <w:p w14:paraId="6B4FB93C">
      <w:pPr>
        <w:spacing w:before="140" w:after="60" w:line="259" w:lineRule="auto"/>
      </w:pPr>
      <w:r>
        <w:rPr>
          <w:rFonts w:ascii="微软雅黑" w:hAnsi="微软雅黑" w:eastAsia="微软雅黑"/>
          <w:b/>
          <w:color w:val="2E4A6B"/>
          <w:sz w:val="26"/>
        </w:rPr>
        <w:t>四、四个</w:t>
      </w:r>
      <w:r>
        <w:rPr>
          <w:rFonts w:hint="eastAsia" w:ascii="微软雅黑" w:hAnsi="微软雅黑" w:eastAsia="微软雅黑"/>
          <w:b/>
          <w:color w:val="2E4A6B"/>
          <w:sz w:val="26"/>
          <w:lang w:val="en-US" w:eastAsia="zh-CN"/>
        </w:rPr>
        <w:t>核心分析</w:t>
      </w:r>
      <w:r>
        <w:rPr>
          <w:rFonts w:ascii="微软雅黑" w:hAnsi="微软雅黑" w:eastAsia="微软雅黑"/>
          <w:b/>
          <w:color w:val="2E4A6B"/>
          <w:sz w:val="26"/>
        </w:rPr>
        <w:t>维度的深入解析</w:t>
      </w:r>
    </w:p>
    <w:p w14:paraId="020A6286">
      <w:pPr>
        <w:spacing w:before="100" w:after="40" w:line="259" w:lineRule="auto"/>
        <w:rPr>
          <w:rFonts w:ascii="微软雅黑" w:hAnsi="微软雅黑" w:eastAsia="微软雅黑"/>
          <w:b/>
          <w:color w:val="2E4A6B"/>
          <w:sz w:val="23"/>
        </w:rPr>
      </w:pPr>
      <w:r>
        <w:rPr>
          <w:rFonts w:ascii="微软雅黑" w:hAnsi="微软雅黑" w:eastAsia="微软雅黑"/>
          <w:b/>
          <w:color w:val="2E4A6B"/>
          <w:sz w:val="23"/>
        </w:rPr>
        <w:t>4.1 羊群行为检测——</w:t>
      </w:r>
      <w:r>
        <w:rPr>
          <w:rFonts w:hint="eastAsia" w:ascii="微软雅黑" w:hAnsi="微软雅黑" w:eastAsia="微软雅黑"/>
          <w:b/>
          <w:color w:val="2E4A6B"/>
          <w:sz w:val="23"/>
          <w:lang w:eastAsia="zh-CN"/>
        </w:rPr>
        <w:t>多维度验证群体情绪极端</w:t>
      </w:r>
    </w:p>
    <w:p w14:paraId="12EA0D98">
      <w:pPr>
        <w:spacing w:before="0" w:after="40" w:line="259" w:lineRule="auto"/>
        <w:rPr>
          <w:rFonts w:hint="eastAsia"/>
          <w:b w:val="0"/>
          <w:color w:val="222222"/>
          <w:sz w:val="21"/>
          <w:lang w:eastAsia="zh-CN"/>
        </w:rPr>
      </w:pPr>
      <w:r>
        <w:rPr>
          <w:rFonts w:ascii="宋体" w:hAnsi="宋体" w:eastAsia="宋体"/>
          <w:b w:val="0"/>
          <w:color w:val="222222"/>
          <w:sz w:val="21"/>
        </w:rPr>
        <w:t>通过识别市场中的集体非理性行为，来发现反向博弈机会。在博弈论框架下，当</w:t>
      </w:r>
      <w:r>
        <w:rPr>
          <w:rFonts w:ascii="宋体" w:hAnsi="宋体" w:eastAsia="宋体"/>
          <w:b w:val="0"/>
          <w:color w:val="222222"/>
          <w:sz w:val="21"/>
          <w:u w:val="single"/>
        </w:rPr>
        <w:t>大量同质化参与者</w:t>
      </w:r>
      <w:r>
        <w:rPr>
          <w:rFonts w:ascii="宋体" w:hAnsi="宋体" w:eastAsia="宋体"/>
          <w:b w:val="0"/>
          <w:color w:val="222222"/>
          <w:sz w:val="21"/>
        </w:rPr>
        <w:t>基于相同信息或情绪做出一致决策时，就形成了羊群效应。</w:t>
      </w:r>
      <w:r>
        <w:rPr>
          <w:rFonts w:hint="eastAsia"/>
          <w:b w:val="0"/>
          <w:color w:val="222222"/>
          <w:sz w:val="21"/>
          <w:lang w:eastAsia="zh-CN"/>
        </w:rPr>
        <w:t>这个羊群效应不仅对散户有效，</w:t>
      </w:r>
      <w:r>
        <w:rPr>
          <w:rFonts w:hint="eastAsia"/>
          <w:b w:val="0"/>
          <w:color w:val="222222"/>
          <w:sz w:val="21"/>
          <w:lang w:val="en-US" w:eastAsia="zh-CN"/>
        </w:rPr>
        <w:t>有时候</w:t>
      </w:r>
      <w:r>
        <w:rPr>
          <w:rFonts w:hint="eastAsia"/>
          <w:b w:val="0"/>
          <w:color w:val="222222"/>
          <w:sz w:val="21"/>
          <w:lang w:eastAsia="zh-CN"/>
        </w:rPr>
        <w:t>对于量化也有效，因为量化很多时候也是同质化的策略。</w:t>
      </w:r>
      <w:r>
        <w:rPr>
          <w:rFonts w:hint="eastAsia"/>
          <w:b w:val="0"/>
          <w:color w:val="222222"/>
          <w:sz w:val="21"/>
          <w:lang w:eastAsia="zh-CN"/>
        </w:rPr>
        <w:br w:type="textWrapping"/>
      </w:r>
      <w:r>
        <w:rPr>
          <w:rFonts w:hint="eastAsia"/>
          <w:b w:val="0"/>
          <w:color w:val="222222"/>
          <w:sz w:val="21"/>
          <w:lang w:eastAsia="zh-CN"/>
        </w:rPr>
        <w:t>//羊群行为检测:多维度验证群体情绪极端</w:t>
      </w:r>
    </w:p>
    <w:p w14:paraId="5AE3C849">
      <w:pPr>
        <w:spacing w:before="0" w:after="40" w:line="259" w:lineRule="auto"/>
        <w:rPr>
          <w:rFonts w:hint="eastAsia"/>
          <w:b w:val="0"/>
          <w:color w:val="222222"/>
          <w:sz w:val="21"/>
          <w:lang w:eastAsia="zh-CN"/>
        </w:rPr>
      </w:pPr>
      <w:r>
        <w:rPr>
          <w:rFonts w:hint="eastAsia"/>
          <w:b w:val="0"/>
          <w:color w:val="222222"/>
          <w:sz w:val="21"/>
          <w:lang w:eastAsia="zh-CN"/>
        </w:rPr>
        <w:t>rsi= ta.rsi(close,rsi length)//计算14日相对强弱指数</w:t>
      </w:r>
    </w:p>
    <w:p w14:paraId="7E61DEFB">
      <w:pPr>
        <w:spacing w:before="0" w:after="40" w:line="259" w:lineRule="auto"/>
        <w:rPr>
          <w:rFonts w:hint="eastAsia"/>
          <w:b w:val="0"/>
          <w:color w:val="222222"/>
          <w:sz w:val="21"/>
          <w:lang w:eastAsia="zh-CN"/>
        </w:rPr>
      </w:pPr>
      <w:r>
        <w:rPr>
          <w:rFonts w:hint="eastAsia"/>
          <w:b w:val="0"/>
          <w:color w:val="222222"/>
          <w:sz w:val="21"/>
          <w:lang w:eastAsia="zh-CN"/>
        </w:rPr>
        <w:t>rs1extreme high= rsi&gt;70//RSI超买阈值，触发大众一致看空</w:t>
      </w:r>
    </w:p>
    <w:p w14:paraId="2770C463">
      <w:pPr>
        <w:spacing w:before="0" w:after="40" w:line="259" w:lineRule="auto"/>
        <w:rPr>
          <w:rFonts w:hint="eastAsia"/>
          <w:b w:val="0"/>
          <w:color w:val="222222"/>
          <w:sz w:val="21"/>
          <w:lang w:eastAsia="zh-CN"/>
        </w:rPr>
      </w:pPr>
      <w:r>
        <w:rPr>
          <w:rFonts w:hint="eastAsia"/>
          <w:b w:val="0"/>
          <w:color w:val="222222"/>
          <w:sz w:val="21"/>
          <w:lang w:eastAsia="zh-CN"/>
        </w:rPr>
        <w:t>extreme low=rsi&lt;30//RSI超卖阈值，触发大众一致看多</w:t>
      </w:r>
    </w:p>
    <w:p w14:paraId="13A8B745">
      <w:pPr>
        <w:spacing w:before="0" w:after="40" w:line="259" w:lineRule="auto"/>
        <w:rPr>
          <w:rFonts w:hint="eastAsia"/>
          <w:b w:val="0"/>
          <w:color w:val="222222"/>
          <w:sz w:val="21"/>
          <w:lang w:eastAsia="zh-CN"/>
        </w:rPr>
      </w:pPr>
    </w:p>
    <w:p w14:paraId="1721FC49">
      <w:pPr>
        <w:spacing w:before="0" w:after="40" w:line="259" w:lineRule="auto"/>
        <w:rPr>
          <w:rFonts w:hint="eastAsia"/>
          <w:b w:val="0"/>
          <w:color w:val="222222"/>
          <w:sz w:val="21"/>
          <w:lang w:eastAsia="zh-CN"/>
        </w:rPr>
      </w:pPr>
      <w:r>
        <w:rPr>
          <w:rFonts w:hint="eastAsia"/>
          <w:b w:val="0"/>
          <w:color w:val="222222"/>
          <w:sz w:val="21"/>
          <w:lang w:eastAsia="zh-CN"/>
        </w:rPr>
        <w:t>r</w:t>
      </w:r>
      <w:r>
        <w:rPr>
          <w:rFonts w:hint="eastAsia"/>
          <w:b w:val="0"/>
          <w:color w:val="222222"/>
          <w:sz w:val="21"/>
          <w:lang w:val="en-US" w:eastAsia="zh-CN"/>
        </w:rPr>
        <w:t>s</w:t>
      </w:r>
      <w:r>
        <w:rPr>
          <w:rFonts w:hint="eastAsia"/>
          <w:b w:val="0"/>
          <w:color w:val="222222"/>
          <w:sz w:val="21"/>
          <w:lang w:eastAsia="zh-CN"/>
        </w:rPr>
        <w:t>i</w:t>
      </w:r>
      <w:r>
        <w:rPr>
          <w:rFonts w:hint="eastAsia"/>
          <w:b w:val="0"/>
          <w:color w:val="222222"/>
          <w:sz w:val="21"/>
          <w:lang w:val="en-US" w:eastAsia="zh-CN"/>
        </w:rPr>
        <w:t xml:space="preserve"> </w:t>
      </w:r>
      <w:r>
        <w:rPr>
          <w:rFonts w:hint="eastAsia"/>
          <w:b w:val="0"/>
          <w:color w:val="222222"/>
          <w:sz w:val="21"/>
          <w:lang w:eastAsia="zh-CN"/>
        </w:rPr>
        <w:t>volume_ma = ta.sma (volume, volume ma_length)//5日成交量基准线</w:t>
      </w:r>
    </w:p>
    <w:p w14:paraId="4A9F8464">
      <w:pPr>
        <w:spacing w:before="0" w:after="40" w:line="259" w:lineRule="auto"/>
        <w:rPr>
          <w:rFonts w:hint="eastAsia"/>
          <w:b w:val="0"/>
          <w:color w:val="222222"/>
          <w:sz w:val="21"/>
          <w:lang w:eastAsia="zh-CN"/>
        </w:rPr>
      </w:pPr>
      <w:r>
        <w:rPr>
          <w:rFonts w:hint="eastAsia"/>
          <w:b w:val="0"/>
          <w:color w:val="222222"/>
          <w:sz w:val="21"/>
          <w:lang w:eastAsia="zh-CN"/>
        </w:rPr>
        <w:t>volume spike = volume &gt; volume ma</w:t>
      </w:r>
      <w:r>
        <w:rPr>
          <w:rFonts w:hint="eastAsia"/>
          <w:b w:val="0"/>
          <w:color w:val="222222"/>
          <w:sz w:val="21"/>
          <w:lang w:val="en-US" w:eastAsia="zh-CN"/>
        </w:rPr>
        <w:t xml:space="preserve"> </w:t>
      </w:r>
      <w:r>
        <w:rPr>
          <w:rFonts w:hint="eastAsia"/>
          <w:b w:val="0"/>
          <w:color w:val="222222"/>
          <w:sz w:val="21"/>
          <w:lang w:eastAsia="zh-CN"/>
        </w:rPr>
        <w:t>herd threshold//成交量异常放大2倍以上</w:t>
      </w:r>
    </w:p>
    <w:p w14:paraId="7D653A1F">
      <w:pPr>
        <w:spacing w:before="0" w:after="40" w:line="259" w:lineRule="auto"/>
        <w:rPr>
          <w:rFonts w:hint="eastAsia"/>
          <w:b w:val="0"/>
          <w:color w:val="222222"/>
          <w:sz w:val="21"/>
          <w:lang w:eastAsia="zh-CN"/>
        </w:rPr>
      </w:pPr>
    </w:p>
    <w:p w14:paraId="3A0B1311">
      <w:pPr>
        <w:spacing w:before="0" w:after="40" w:line="259" w:lineRule="auto"/>
        <w:rPr>
          <w:rFonts w:hint="eastAsia"/>
          <w:b w:val="0"/>
          <w:color w:val="222222"/>
          <w:sz w:val="21"/>
          <w:lang w:eastAsia="zh-CN"/>
        </w:rPr>
      </w:pPr>
      <w:r>
        <w:rPr>
          <w:rFonts w:hint="eastAsia"/>
          <w:b w:val="0"/>
          <w:color w:val="222222"/>
          <w:sz w:val="21"/>
          <w:lang w:eastAsia="zh-CN"/>
        </w:rPr>
        <w:t>momentum=close-close[5]//5日价格动量，衡量短期趋势强度</w:t>
      </w:r>
    </w:p>
    <w:p w14:paraId="45331CE8">
      <w:pPr>
        <w:spacing w:before="0" w:after="40" w:line="259" w:lineRule="auto"/>
        <w:rPr>
          <w:rFonts w:hint="eastAsia"/>
          <w:b w:val="0"/>
          <w:color w:val="222222"/>
          <w:sz w:val="21"/>
          <w:lang w:eastAsia="zh-CN"/>
        </w:rPr>
      </w:pPr>
      <w:r>
        <w:rPr>
          <w:rFonts w:hint="eastAsia"/>
          <w:b w:val="0"/>
          <w:color w:val="222222"/>
          <w:sz w:val="21"/>
          <w:lang w:eastAsia="zh-CN"/>
        </w:rPr>
        <w:t>momentum_ma=ta.sma(momentum,5)//动量均值，区分趋势性和情绪性波动</w:t>
      </w:r>
    </w:p>
    <w:p w14:paraId="19D1F9E9">
      <w:pPr>
        <w:spacing w:before="0" w:after="40" w:line="259" w:lineRule="auto"/>
        <w:rPr>
          <w:rFonts w:hint="eastAsia"/>
          <w:b w:val="0"/>
          <w:color w:val="222222"/>
          <w:sz w:val="21"/>
          <w:lang w:eastAsia="zh-CN"/>
        </w:rPr>
      </w:pPr>
    </w:p>
    <w:p w14:paraId="359D099F">
      <w:pPr>
        <w:spacing w:before="0" w:after="40" w:line="259" w:lineRule="auto"/>
        <w:rPr>
          <w:rFonts w:hint="eastAsia"/>
          <w:b w:val="0"/>
          <w:color w:val="222222"/>
          <w:sz w:val="21"/>
          <w:lang w:eastAsia="zh-CN"/>
        </w:rPr>
      </w:pPr>
      <w:r>
        <w:rPr>
          <w:rFonts w:hint="eastAsia"/>
          <w:b w:val="0"/>
          <w:color w:val="222222"/>
          <w:sz w:val="21"/>
          <w:lang w:eastAsia="zh-CN"/>
        </w:rPr>
        <w:t>//羊群行为确认:</w:t>
      </w:r>
    </w:p>
    <w:p w14:paraId="0EA31661">
      <w:pPr>
        <w:spacing w:before="0" w:after="40" w:line="259" w:lineRule="auto"/>
        <w:rPr>
          <w:rFonts w:hint="eastAsia"/>
          <w:b w:val="0"/>
          <w:color w:val="222222"/>
          <w:sz w:val="21"/>
          <w:lang w:eastAsia="zh-CN"/>
        </w:rPr>
      </w:pPr>
      <w:r>
        <w:rPr>
          <w:rFonts w:hint="eastAsia"/>
          <w:b w:val="0"/>
          <w:color w:val="222222"/>
          <w:sz w:val="21"/>
          <w:lang w:eastAsia="zh-CN"/>
        </w:rPr>
        <w:t>同时满足技术极值+成交量异常+动量偏离</w:t>
      </w:r>
    </w:p>
    <w:p w14:paraId="1B6C1D2D">
      <w:pPr>
        <w:spacing w:before="0" w:after="40" w:line="259" w:lineRule="auto"/>
        <w:rPr>
          <w:rFonts w:hint="eastAsia"/>
          <w:b w:val="0"/>
          <w:color w:val="222222"/>
          <w:sz w:val="21"/>
          <w:lang w:eastAsia="zh-CN"/>
        </w:rPr>
      </w:pPr>
      <w:r>
        <w:rPr>
          <w:rFonts w:hint="eastAsia"/>
          <w:b w:val="0"/>
          <w:color w:val="222222"/>
          <w:sz w:val="21"/>
          <w:lang w:eastAsia="zh-CN"/>
        </w:rPr>
        <w:t xml:space="preserve">herd buying = rsi extreme high and volume spike and momentumherd </w:t>
      </w:r>
      <w:r>
        <w:rPr>
          <w:rFonts w:hint="eastAsia"/>
          <w:b w:val="0"/>
          <w:color w:val="222222"/>
          <w:sz w:val="21"/>
          <w:lang w:val="en-US" w:eastAsia="zh-CN"/>
        </w:rPr>
        <w:t>&gt;</w:t>
      </w:r>
      <w:r>
        <w:rPr>
          <w:rFonts w:hint="eastAsia"/>
          <w:b w:val="0"/>
          <w:color w:val="222222"/>
          <w:sz w:val="21"/>
          <w:lang w:eastAsia="zh-CN"/>
        </w:rPr>
        <w:t>momentum ma//羊群追涨</w:t>
      </w:r>
    </w:p>
    <w:p w14:paraId="37534EAD">
      <w:pPr>
        <w:spacing w:before="0" w:after="40" w:line="259" w:lineRule="auto"/>
        <w:rPr>
          <w:rFonts w:hint="eastAsia"/>
          <w:b w:val="0"/>
          <w:color w:val="222222"/>
          <w:sz w:val="21"/>
          <w:lang w:eastAsia="zh-CN"/>
        </w:rPr>
      </w:pPr>
      <w:r>
        <w:rPr>
          <w:rFonts w:hint="eastAsia"/>
          <w:b w:val="0"/>
          <w:color w:val="222222"/>
          <w:sz w:val="21"/>
          <w:lang w:eastAsia="zh-CN"/>
        </w:rPr>
        <w:t>Herd</w:t>
      </w:r>
      <w:r>
        <w:rPr>
          <w:rFonts w:hint="eastAsia"/>
          <w:b w:val="0"/>
          <w:color w:val="222222"/>
          <w:sz w:val="21"/>
          <w:lang w:val="en-US" w:eastAsia="zh-CN"/>
        </w:rPr>
        <w:t xml:space="preserve"> </w:t>
      </w:r>
      <w:r>
        <w:rPr>
          <w:rFonts w:hint="eastAsia"/>
          <w:b w:val="0"/>
          <w:color w:val="222222"/>
          <w:sz w:val="21"/>
          <w:lang w:eastAsia="zh-CN"/>
        </w:rPr>
        <w:t>selling = rsi extreme low and volume spike and momentum</w:t>
      </w:r>
      <w:r>
        <w:rPr>
          <w:rFonts w:hint="eastAsia"/>
          <w:b w:val="0"/>
          <w:color w:val="222222"/>
          <w:sz w:val="21"/>
          <w:lang w:val="en-US" w:eastAsia="zh-CN"/>
        </w:rPr>
        <w:t xml:space="preserve"> &lt;</w:t>
      </w:r>
      <w:r>
        <w:rPr>
          <w:rFonts w:hint="eastAsia"/>
          <w:b w:val="0"/>
          <w:color w:val="222222"/>
          <w:sz w:val="21"/>
          <w:lang w:eastAsia="zh-CN"/>
        </w:rPr>
        <w:t>momentum ma//羊群杀跌</w:t>
      </w:r>
    </w:p>
    <w:p w14:paraId="7D8F3BE8">
      <w:pPr>
        <w:spacing w:before="0" w:after="40" w:line="259" w:lineRule="auto"/>
      </w:pPr>
      <w:r>
        <w:rPr>
          <w:rFonts w:ascii="宋体" w:hAnsi="宋体" w:eastAsia="宋体"/>
          <w:b w:val="0"/>
          <w:color w:val="222222"/>
          <w:sz w:val="21"/>
        </w:rPr>
        <w:t>策略通过三个维度来量化这种行为：</w:t>
      </w:r>
      <w:r>
        <w:rPr>
          <w:rFonts w:ascii="宋体" w:hAnsi="宋体" w:eastAsia="宋体"/>
          <w:b/>
          <w:color w:val="222222"/>
          <w:sz w:val="21"/>
        </w:rPr>
        <w:t>技术指标极值、成交量异常、动量方向</w:t>
      </w:r>
      <w:r>
        <w:rPr>
          <w:rFonts w:ascii="宋体" w:hAnsi="宋体" w:eastAsia="宋体"/>
          <w:b w:val="0"/>
          <w:color w:val="222222"/>
          <w:sz w:val="21"/>
        </w:rPr>
        <w:t>。</w:t>
      </w:r>
    </w:p>
    <w:p w14:paraId="777CB526">
      <w:pPr>
        <w:pStyle w:val="16"/>
        <w:spacing w:before="0" w:after="20" w:line="259" w:lineRule="auto"/>
      </w:pPr>
      <w:r>
        <w:rPr>
          <w:rFonts w:ascii="宋体" w:hAnsi="宋体" w:eastAsia="宋体"/>
          <w:b w:val="0"/>
          <w:color w:val="222222"/>
          <w:sz w:val="21"/>
        </w:rPr>
        <w:t>当 RSI 达到</w:t>
      </w:r>
      <w:r>
        <w:rPr>
          <w:rFonts w:ascii="宋体" w:hAnsi="宋体" w:eastAsia="宋体"/>
          <w:b/>
          <w:color w:val="222222"/>
          <w:sz w:val="21"/>
        </w:rPr>
        <w:t>极值</w:t>
      </w:r>
      <w:r>
        <w:rPr>
          <w:rFonts w:ascii="宋体" w:hAnsi="宋体" w:eastAsia="宋体"/>
          <w:b w:val="0"/>
          <w:color w:val="222222"/>
          <w:sz w:val="21"/>
        </w:rPr>
        <w:t>时，意味着大量技术派交易者会采取相同行动；</w:t>
      </w:r>
    </w:p>
    <w:p w14:paraId="3F0A31F7">
      <w:pPr>
        <w:pStyle w:val="16"/>
        <w:spacing w:before="0" w:after="20" w:line="259" w:lineRule="auto"/>
      </w:pPr>
      <w:r>
        <w:rPr>
          <w:rFonts w:ascii="宋体" w:hAnsi="宋体" w:eastAsia="宋体"/>
          <w:b w:val="0"/>
          <w:color w:val="222222"/>
          <w:sz w:val="21"/>
        </w:rPr>
        <w:t>成交量倍数检测用于过滤正常波动，只有当成交量显著超过平均水平时，才说明有大量参与者同时行动；</w:t>
      </w:r>
    </w:p>
    <w:p w14:paraId="5BD9529C">
      <w:pPr>
        <w:pStyle w:val="16"/>
        <w:spacing w:before="0" w:after="20" w:line="259" w:lineRule="auto"/>
      </w:pPr>
      <w:r>
        <w:rPr>
          <w:rFonts w:ascii="宋体" w:hAnsi="宋体" w:eastAsia="宋体"/>
          <w:b w:val="0"/>
          <w:color w:val="222222"/>
          <w:sz w:val="21"/>
        </w:rPr>
        <w:t>动量指标的引入，确保策略能够区分真正的羊群行为和技术性调整——只有当价格动量与历史均值发生显著偏离时，才确认为情绪驱动的集体行为。</w:t>
      </w:r>
    </w:p>
    <w:p w14:paraId="6C4AB5AC">
      <w:pPr>
        <w:spacing w:before="100" w:after="40" w:line="259" w:lineRule="auto"/>
        <w:rPr>
          <w:rFonts w:hint="default" w:ascii="微软雅黑" w:hAnsi="微软雅黑" w:eastAsia="微软雅黑"/>
          <w:b/>
          <w:color w:val="2E4A6B"/>
          <w:sz w:val="23"/>
          <w:lang w:val="en-US" w:eastAsia="zh-CN"/>
        </w:rPr>
      </w:pPr>
      <w:r>
        <w:rPr>
          <w:rFonts w:ascii="微软雅黑" w:hAnsi="微软雅黑" w:eastAsia="微软雅黑"/>
          <w:b/>
          <w:color w:val="2E4A6B"/>
          <w:sz w:val="23"/>
        </w:rPr>
        <w:t>4.2 流动性陷阱——</w:t>
      </w:r>
      <w:r>
        <w:rPr>
          <w:rFonts w:hint="eastAsia" w:ascii="微软雅黑" w:hAnsi="微软雅黑" w:eastAsia="微软雅黑"/>
          <w:b/>
          <w:color w:val="2E4A6B"/>
          <w:sz w:val="23"/>
        </w:rPr>
        <w:t>大资金利用技术位和心理价位猎杀散户</w:t>
      </w:r>
      <w:r>
        <w:rPr>
          <w:rFonts w:hint="eastAsia" w:ascii="微软雅黑" w:hAnsi="微软雅黑" w:eastAsia="微软雅黑"/>
          <w:b/>
          <w:color w:val="2E4A6B"/>
          <w:sz w:val="23"/>
          <w:lang w:val="en-US" w:eastAsia="zh-CN"/>
        </w:rPr>
        <w:t>经典手法</w:t>
      </w:r>
    </w:p>
    <w:p w14:paraId="7AB75060">
      <w:pPr>
        <w:spacing w:before="100" w:after="40" w:line="259" w:lineRule="auto"/>
      </w:pPr>
    </w:p>
    <w:p w14:paraId="23C8BD11">
      <w:pPr>
        <w:spacing w:before="0" w:after="40" w:line="259" w:lineRule="auto"/>
        <w:rPr>
          <w:rFonts w:ascii="宋体" w:hAnsi="宋体" w:eastAsia="宋体"/>
          <w:b w:val="0"/>
          <w:color w:val="222222"/>
          <w:sz w:val="21"/>
        </w:rPr>
      </w:pPr>
      <w:r>
        <w:rPr>
          <w:rFonts w:ascii="宋体" w:hAnsi="宋体" w:eastAsia="宋体"/>
          <w:b w:val="0"/>
          <w:color w:val="222222"/>
          <w:sz w:val="21"/>
        </w:rPr>
        <w:t>流动性陷阱体现了信息不对称博弈中强势方的策略优势。在博弈论框架下，这是一个典型的信号博弈模型：大资金通过制造虚假突破信号，诱导散户基于技术分析做出错误决策，然后利用散户的流动性完成自己的真实意图。</w:t>
      </w:r>
    </w:p>
    <w:p w14:paraId="7C580CB9">
      <w:pPr>
        <w:spacing w:before="0" w:after="40" w:line="259" w:lineRule="auto"/>
        <w:rPr>
          <w:rFonts w:hint="eastAsia" w:ascii="宋体" w:hAnsi="宋体" w:eastAsia="宋体"/>
          <w:b w:val="0"/>
          <w:color w:val="222222"/>
          <w:sz w:val="21"/>
          <w:lang w:eastAsia="zh-CN"/>
        </w:rPr>
      </w:pPr>
      <w:r>
        <w:rPr>
          <w:rFonts w:hint="eastAsia" w:ascii="宋体" w:hAnsi="宋体" w:eastAsia="宋体"/>
          <w:b w:val="0"/>
          <w:color w:val="222222"/>
          <w:sz w:val="21"/>
        </w:rPr>
        <w:t>//</w:t>
      </w:r>
      <w:r>
        <w:rPr>
          <w:rFonts w:hint="eastAsia"/>
          <w:b w:val="0"/>
          <w:color w:val="222222"/>
          <w:sz w:val="21"/>
          <w:lang w:eastAsia="zh-CN"/>
        </w:rPr>
        <w:t>技术</w:t>
      </w:r>
      <w:r>
        <w:rPr>
          <w:rFonts w:hint="eastAsia"/>
          <w:b w:val="0"/>
          <w:color w:val="222222"/>
          <w:sz w:val="21"/>
          <w:lang w:val="en-US" w:eastAsia="zh-CN"/>
        </w:rPr>
        <w:t>位</w:t>
      </w:r>
      <w:r>
        <w:rPr>
          <w:rFonts w:hint="eastAsia"/>
          <w:b w:val="0"/>
          <w:color w:val="222222"/>
          <w:sz w:val="21"/>
          <w:lang w:eastAsia="zh-CN"/>
        </w:rPr>
        <w:t>突破检测</w:t>
      </w:r>
    </w:p>
    <w:p w14:paraId="506BA67A">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recent_high = ta.highest (high, liquidity lookback)//5日内技术阻力位</w:t>
      </w:r>
    </w:p>
    <w:p w14:paraId="6AAE7438">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recent low = ta.lowest (low,liquidity lookback)//5日内技术支撑位</w:t>
      </w:r>
    </w:p>
    <w:p w14:paraId="01F0669E">
      <w:pPr>
        <w:spacing w:before="0" w:after="40" w:line="259" w:lineRule="auto"/>
        <w:rPr>
          <w:rFonts w:hint="eastAsia" w:ascii="宋体" w:hAnsi="宋体" w:eastAsia="宋体"/>
          <w:b w:val="0"/>
          <w:color w:val="222222"/>
          <w:sz w:val="21"/>
        </w:rPr>
      </w:pPr>
    </w:p>
    <w:p w14:paraId="61DE2768">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//分层心理价位:根据价格区间采用不同整数单位</w:t>
      </w:r>
    </w:p>
    <w:p w14:paraId="27029DA3">
      <w:pPr>
        <w:spacing w:before="0" w:after="40" w:line="259" w:lineRule="auto"/>
        <w:rPr>
          <w:rFonts w:hint="eastAsia" w:ascii="宋体" w:hAnsi="宋体" w:eastAsia="宋体"/>
          <w:b w:val="0"/>
          <w:color w:val="222222"/>
          <w:sz w:val="21"/>
          <w:lang w:eastAsia="zh-CN"/>
        </w:rPr>
      </w:pPr>
      <w:r>
        <w:rPr>
          <w:rFonts w:hint="eastAsia" w:ascii="宋体" w:hAnsi="宋体" w:eastAsia="宋体"/>
          <w:b w:val="0"/>
          <w:color w:val="222222"/>
          <w:sz w:val="21"/>
        </w:rPr>
        <w:t>round level up = close &gt; 100</w:t>
      </w:r>
      <w:r>
        <w:rPr>
          <w:rFonts w:hint="eastAsia"/>
          <w:b w:val="0"/>
          <w:color w:val="222222"/>
          <w:sz w:val="21"/>
          <w:lang w:eastAsia="zh-CN"/>
        </w:rPr>
        <w:t>？</w:t>
      </w:r>
    </w:p>
    <w:p w14:paraId="018FFE6C">
      <w:pPr>
        <w:spacing w:before="0" w:after="40" w:line="259" w:lineRule="auto"/>
        <w:rPr>
          <w:rFonts w:hint="default" w:ascii="宋体" w:hAnsi="宋体" w:eastAsia="宋体"/>
          <w:b w:val="0"/>
          <w:color w:val="222222"/>
          <w:sz w:val="21"/>
          <w:lang w:val="en-US" w:eastAsia="zh-CN"/>
        </w:rPr>
      </w:pPr>
      <w:r>
        <w:rPr>
          <w:rFonts w:hint="eastAsia" w:ascii="宋体" w:hAnsi="宋体" w:eastAsia="宋体"/>
          <w:b w:val="0"/>
          <w:color w:val="222222"/>
          <w:sz w:val="21"/>
        </w:rPr>
        <w:t>math.round (close</w:t>
      </w:r>
      <w:r>
        <w:rPr>
          <w:rFonts w:hint="eastAsia"/>
          <w:b w:val="0"/>
          <w:color w:val="222222"/>
          <w:sz w:val="21"/>
          <w:lang w:val="en-US" w:eastAsia="zh-CN"/>
        </w:rPr>
        <w:t>/100)</w:t>
      </w:r>
      <w:r>
        <w:rPr>
          <w:rFonts w:hint="eastAsia" w:ascii="宋体" w:hAnsi="宋体" w:eastAsia="宋体"/>
          <w:b w:val="0"/>
          <w:color w:val="222222"/>
          <w:sz w:val="21"/>
        </w:rPr>
        <w:t>* 100</w:t>
      </w:r>
      <w:r>
        <w:rPr>
          <w:rFonts w:hint="eastAsia"/>
          <w:b w:val="0"/>
          <w:color w:val="222222"/>
          <w:sz w:val="21"/>
          <w:lang w:val="en-US" w:eastAsia="zh-CN"/>
        </w:rPr>
        <w:t xml:space="preserve">+100: </w:t>
      </w:r>
      <w:r>
        <w:rPr>
          <w:rFonts w:hint="eastAsia" w:ascii="宋体" w:hAnsi="宋体" w:eastAsia="宋体"/>
          <w:b w:val="0"/>
          <w:color w:val="222222"/>
          <w:sz w:val="21"/>
        </w:rPr>
        <w:t>//高价位按百计算</w:t>
      </w:r>
    </w:p>
    <w:p w14:paraId="757903BB">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math.round(close/ 10) *10 + 10</w:t>
      </w:r>
      <w:r>
        <w:rPr>
          <w:rFonts w:hint="eastAsia"/>
          <w:b w:val="0"/>
          <w:color w:val="222222"/>
          <w:sz w:val="21"/>
          <w:lang w:val="en-US" w:eastAsia="zh-CN"/>
        </w:rPr>
        <w:t xml:space="preserve">: </w:t>
      </w:r>
      <w:r>
        <w:rPr>
          <w:rFonts w:hint="eastAsia" w:ascii="宋体" w:hAnsi="宋体" w:eastAsia="宋体"/>
          <w:b w:val="0"/>
          <w:color w:val="222222"/>
          <w:sz w:val="21"/>
        </w:rPr>
        <w:t>//低价位按十计算</w:t>
      </w:r>
    </w:p>
    <w:p w14:paraId="62EF0A02">
      <w:pPr>
        <w:spacing w:before="0" w:after="40" w:line="259" w:lineRule="auto"/>
        <w:rPr>
          <w:rFonts w:hint="eastAsia" w:ascii="宋体" w:hAnsi="宋体" w:eastAsia="宋体"/>
          <w:b w:val="0"/>
          <w:color w:val="222222"/>
          <w:sz w:val="21"/>
          <w:lang w:eastAsia="zh-CN"/>
        </w:rPr>
      </w:pPr>
      <w:r>
        <w:rPr>
          <w:rFonts w:hint="eastAsia" w:ascii="宋体" w:hAnsi="宋体" w:eastAsia="宋体"/>
          <w:b w:val="0"/>
          <w:color w:val="222222"/>
          <w:sz w:val="21"/>
        </w:rPr>
        <w:t xml:space="preserve">round level </w:t>
      </w:r>
      <w:r>
        <w:rPr>
          <w:rFonts w:hint="eastAsia"/>
          <w:b w:val="0"/>
          <w:color w:val="222222"/>
          <w:sz w:val="21"/>
          <w:lang w:val="en-US" w:eastAsia="zh-CN"/>
        </w:rPr>
        <w:t>down</w:t>
      </w:r>
      <w:r>
        <w:rPr>
          <w:rFonts w:hint="eastAsia" w:ascii="宋体" w:hAnsi="宋体" w:eastAsia="宋体"/>
          <w:b w:val="0"/>
          <w:color w:val="222222"/>
          <w:sz w:val="21"/>
        </w:rPr>
        <w:t xml:space="preserve"> = close &gt; 100</w:t>
      </w:r>
      <w:r>
        <w:rPr>
          <w:rFonts w:hint="eastAsia"/>
          <w:b w:val="0"/>
          <w:color w:val="222222"/>
          <w:sz w:val="21"/>
          <w:lang w:eastAsia="zh-CN"/>
        </w:rPr>
        <w:t>？</w:t>
      </w:r>
    </w:p>
    <w:p w14:paraId="00AF5F15">
      <w:pPr>
        <w:spacing w:before="0" w:after="40" w:line="259" w:lineRule="auto"/>
        <w:rPr>
          <w:rFonts w:hint="eastAsia"/>
          <w:b w:val="0"/>
          <w:color w:val="222222"/>
          <w:sz w:val="21"/>
          <w:lang w:val="en-US" w:eastAsia="zh-CN"/>
        </w:rPr>
      </w:pPr>
      <w:r>
        <w:rPr>
          <w:rFonts w:hint="eastAsia" w:ascii="宋体" w:hAnsi="宋体" w:eastAsia="宋体"/>
          <w:b w:val="0"/>
          <w:color w:val="222222"/>
          <w:sz w:val="21"/>
        </w:rPr>
        <w:t>math.round (close</w:t>
      </w:r>
      <w:r>
        <w:rPr>
          <w:rFonts w:hint="eastAsia"/>
          <w:b w:val="0"/>
          <w:color w:val="222222"/>
          <w:sz w:val="21"/>
          <w:lang w:val="en-US" w:eastAsia="zh-CN"/>
        </w:rPr>
        <w:t>/100)</w:t>
      </w:r>
      <w:r>
        <w:rPr>
          <w:rFonts w:hint="eastAsia" w:ascii="宋体" w:hAnsi="宋体" w:eastAsia="宋体"/>
          <w:b w:val="0"/>
          <w:color w:val="222222"/>
          <w:sz w:val="21"/>
        </w:rPr>
        <w:t>* 100</w:t>
      </w:r>
      <w:r>
        <w:rPr>
          <w:rFonts w:hint="eastAsia"/>
          <w:b w:val="0"/>
          <w:color w:val="222222"/>
          <w:sz w:val="21"/>
          <w:lang w:val="en-US" w:eastAsia="zh-CN"/>
        </w:rPr>
        <w:t xml:space="preserve">-100: </w:t>
      </w:r>
    </w:p>
    <w:p w14:paraId="4A3CA3A9">
      <w:pPr>
        <w:spacing w:before="0" w:after="40" w:line="259" w:lineRule="auto"/>
        <w:rPr>
          <w:rFonts w:hint="eastAsia"/>
          <w:b w:val="0"/>
          <w:color w:val="222222"/>
          <w:sz w:val="21"/>
          <w:lang w:val="en-US" w:eastAsia="zh-CN"/>
        </w:rPr>
      </w:pPr>
      <w:r>
        <w:rPr>
          <w:rFonts w:hint="eastAsia" w:ascii="宋体" w:hAnsi="宋体" w:eastAsia="宋体"/>
          <w:b w:val="0"/>
          <w:color w:val="222222"/>
          <w:sz w:val="21"/>
        </w:rPr>
        <w:t xml:space="preserve">math.round(close/ 10) *10 </w:t>
      </w:r>
      <w:r>
        <w:rPr>
          <w:rFonts w:hint="eastAsia"/>
          <w:b w:val="0"/>
          <w:color w:val="222222"/>
          <w:sz w:val="21"/>
          <w:lang w:val="en-US" w:eastAsia="zh-CN"/>
        </w:rPr>
        <w:t>-</w:t>
      </w:r>
      <w:r>
        <w:rPr>
          <w:rFonts w:hint="eastAsia" w:ascii="宋体" w:hAnsi="宋体" w:eastAsia="宋体"/>
          <w:b w:val="0"/>
          <w:color w:val="222222"/>
          <w:sz w:val="21"/>
        </w:rPr>
        <w:t xml:space="preserve"> 10</w:t>
      </w:r>
      <w:r>
        <w:rPr>
          <w:rFonts w:hint="eastAsia"/>
          <w:b w:val="0"/>
          <w:color w:val="222222"/>
          <w:sz w:val="21"/>
          <w:lang w:val="en-US" w:eastAsia="zh-CN"/>
        </w:rPr>
        <w:t xml:space="preserve">: </w:t>
      </w:r>
    </w:p>
    <w:p w14:paraId="5DD31DB9">
      <w:pPr>
        <w:spacing w:before="0" w:after="40" w:line="259" w:lineRule="auto"/>
        <w:rPr>
          <w:rFonts w:hint="eastAsia"/>
          <w:b w:val="0"/>
          <w:color w:val="222222"/>
          <w:sz w:val="21"/>
          <w:lang w:val="en-US" w:eastAsia="zh-CN"/>
        </w:rPr>
      </w:pPr>
    </w:p>
    <w:p w14:paraId="654F54E0">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//心理价位接近度:1%偏差阈值平衡敏感性和准确性</w:t>
      </w:r>
    </w:p>
    <w:p w14:paraId="0CA6CC59">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near psych up = math.abs (high - round level up)/ close &lt; 0.01near_psych down= math.abs (low - round level down) / close &lt; 0.01</w:t>
      </w:r>
    </w:p>
    <w:p w14:paraId="0BEAE230">
      <w:pPr>
        <w:spacing w:before="0" w:after="40" w:line="259" w:lineRule="auto"/>
        <w:rPr>
          <w:rFonts w:hint="eastAsia" w:ascii="宋体" w:hAnsi="宋体" w:eastAsia="宋体"/>
          <w:b w:val="0"/>
          <w:color w:val="222222"/>
          <w:sz w:val="21"/>
        </w:rPr>
      </w:pPr>
    </w:p>
    <w:p w14:paraId="2E7F31FC">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//流动性陷阱确认:技术突破+快速回撤+大成交量+心理价位</w:t>
      </w:r>
    </w:p>
    <w:p w14:paraId="4D5557DF">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liquidity trap up = high &gt; recent high[1] and close &lt; recent high[1] and volume spike and near psych up</w:t>
      </w:r>
    </w:p>
    <w:p w14:paraId="2F9EF5C9">
      <w:pPr>
        <w:spacing w:before="0" w:after="40" w:line="259" w:lineRule="auto"/>
        <w:rPr>
          <w:rFonts w:ascii="宋体" w:hAnsi="宋体" w:eastAsia="宋体"/>
          <w:b w:val="0"/>
          <w:color w:val="222222"/>
          <w:sz w:val="21"/>
        </w:rPr>
      </w:pPr>
      <w:r>
        <w:rPr>
          <w:rFonts w:hint="eastAsia" w:ascii="宋体" w:hAnsi="宋体" w:eastAsia="宋体"/>
          <w:b w:val="0"/>
          <w:color w:val="222222"/>
          <w:sz w:val="21"/>
        </w:rPr>
        <w:t>liquidity trap down = low &lt; recent low[l]and close &gt; recent low[1] and volume_spike and near_psych_down</w:t>
      </w:r>
    </w:p>
    <w:p w14:paraId="0A54F4F7">
      <w:pPr>
        <w:spacing w:before="0" w:after="40" w:line="259" w:lineRule="auto"/>
        <w:rPr>
          <w:rFonts w:ascii="宋体" w:hAnsi="宋体" w:eastAsia="宋体"/>
          <w:b w:val="0"/>
          <w:color w:val="222222"/>
          <w:sz w:val="21"/>
        </w:rPr>
      </w:pPr>
      <w:r>
        <w:rPr>
          <w:rFonts w:ascii="宋体" w:hAnsi="宋体" w:eastAsia="宋体"/>
          <w:b w:val="0"/>
          <w:color w:val="222222"/>
          <w:sz w:val="21"/>
        </w:rPr>
        <w:t>策略通过两个核心要素来识别这种博弈行为：</w:t>
      </w:r>
      <w:r>
        <w:rPr>
          <w:rFonts w:ascii="宋体" w:hAnsi="宋体" w:eastAsia="宋体"/>
          <w:b/>
          <w:color w:val="222222"/>
          <w:sz w:val="21"/>
        </w:rPr>
        <w:t>技术位突破</w:t>
      </w:r>
      <w:r>
        <w:rPr>
          <w:rFonts w:ascii="宋体" w:hAnsi="宋体" w:eastAsia="宋体"/>
          <w:b w:val="0"/>
          <w:color w:val="222222"/>
          <w:sz w:val="21"/>
        </w:rPr>
        <w:t>与</w:t>
      </w:r>
      <w:r>
        <w:rPr>
          <w:rFonts w:ascii="宋体" w:hAnsi="宋体" w:eastAsia="宋体"/>
          <w:b/>
          <w:color w:val="222222"/>
          <w:sz w:val="21"/>
        </w:rPr>
        <w:t>心理价位</w:t>
      </w:r>
      <w:r>
        <w:rPr>
          <w:rFonts w:ascii="宋体" w:hAnsi="宋体" w:eastAsia="宋体"/>
          <w:b w:val="0"/>
          <w:color w:val="222222"/>
          <w:sz w:val="21"/>
        </w:rPr>
        <w:t>。技术位突破检测能够识别虚假突破后的快速回撤，这种行为模式通常预示着大资金的操纵意图。心理价位的引入，是对人类认知偏差的深刻理解——人类天生对整数具有特殊偏好，这种认知锚定效应，使得整数价位附近容易积聚大量止损单和挂单。当满足流动性陷阱的固定行为特征时，我们确认向上和向下流动性陷阱的产生。</w:t>
      </w:r>
    </w:p>
    <w:p w14:paraId="3CBF6A72">
      <w:pPr>
        <w:spacing w:before="0" w:after="40" w:line="259" w:lineRule="auto"/>
        <w:rPr>
          <w:rFonts w:ascii="宋体" w:hAnsi="宋体" w:eastAsia="宋体"/>
          <w:b w:val="0"/>
          <w:color w:val="222222"/>
          <w:sz w:val="21"/>
        </w:rPr>
      </w:pPr>
    </w:p>
    <w:p w14:paraId="50C26D6B">
      <w:pPr>
        <w:spacing w:before="100" w:after="40" w:line="259" w:lineRule="auto"/>
      </w:pPr>
      <w:r>
        <w:rPr>
          <w:rFonts w:ascii="微软雅黑" w:hAnsi="微软雅黑" w:eastAsia="微软雅黑"/>
          <w:b/>
          <w:color w:val="2E4A6B"/>
          <w:sz w:val="23"/>
        </w:rPr>
        <w:t>4.3 机构资金流分析——策略的信息博弈核心</w:t>
      </w:r>
    </w:p>
    <w:p w14:paraId="06DAB7FD">
      <w:pPr>
        <w:spacing w:before="0" w:after="40" w:line="259" w:lineRule="auto"/>
        <w:rPr>
          <w:rFonts w:ascii="宋体" w:hAnsi="宋体" w:eastAsia="宋体"/>
          <w:b w:val="0"/>
          <w:color w:val="222222"/>
          <w:sz w:val="21"/>
        </w:rPr>
      </w:pPr>
    </w:p>
    <w:p w14:paraId="63BF5B7C">
      <w:pPr>
        <w:spacing w:before="0" w:after="40" w:line="259" w:lineRule="auto"/>
        <w:rPr>
          <w:rFonts w:ascii="宋体" w:hAnsi="宋体" w:eastAsia="宋体"/>
          <w:b w:val="0"/>
          <w:color w:val="222222"/>
          <w:sz w:val="21"/>
        </w:rPr>
      </w:pPr>
      <w:r>
        <w:rPr>
          <w:rFonts w:ascii="宋体" w:hAnsi="宋体" w:eastAsia="宋体"/>
          <w:b w:val="0"/>
          <w:color w:val="222222"/>
          <w:sz w:val="21"/>
        </w:rPr>
        <w:t>旨在识别拥有信息优势的专业资金动向。在博弈论框架下，这体现了不完全信息博弈中的信息价值理论：拥有更好信息的参与者会先于市场行动，而跟踪这些行为，可以在信息传递的实质中获得收益。</w:t>
      </w:r>
    </w:p>
    <w:p w14:paraId="6A5ED9D7">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//机构资金流:追踪聪明钱的信息优势</w:t>
      </w:r>
    </w:p>
    <w:p w14:paraId="3118D858">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institutional volume = volume &gt; volume ma</w:t>
      </w:r>
      <w:r>
        <w:rPr>
          <w:rFonts w:hint="eastAsia"/>
          <w:b w:val="0"/>
          <w:color w:val="222222"/>
          <w:sz w:val="21"/>
          <w:lang w:val="en-US" w:eastAsia="zh-CN"/>
        </w:rPr>
        <w:t xml:space="preserve"> </w:t>
      </w:r>
      <w:r>
        <w:rPr>
          <w:rFonts w:hint="eastAsia" w:ascii="宋体" w:hAnsi="宋体" w:eastAsia="宋体"/>
          <w:b w:val="0"/>
          <w:color w:val="222222"/>
          <w:sz w:val="21"/>
        </w:rPr>
        <w:t>inst_volume_mult//2.5倍成交量识别机构级别交易</w:t>
      </w:r>
    </w:p>
    <w:p w14:paraId="6535871C">
      <w:pPr>
        <w:spacing w:before="0" w:after="40" w:line="259" w:lineRule="auto"/>
        <w:rPr>
          <w:rFonts w:hint="eastAsia" w:ascii="宋体" w:hAnsi="宋体" w:eastAsia="宋体"/>
          <w:b w:val="0"/>
          <w:color w:val="222222"/>
          <w:sz w:val="21"/>
        </w:rPr>
      </w:pPr>
    </w:p>
    <w:p w14:paraId="118B8DC6">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//累积分配指标:通过价格重心分析资金真实意图</w:t>
      </w:r>
    </w:p>
    <w:p w14:paraId="6D6EA723">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ad= ta.cum(((close - low) - (high - close))</w:t>
      </w:r>
      <w:r>
        <w:rPr>
          <w:rFonts w:hint="eastAsia"/>
          <w:b w:val="0"/>
          <w:color w:val="222222"/>
          <w:sz w:val="21"/>
          <w:lang w:val="en-US" w:eastAsia="zh-CN"/>
        </w:rPr>
        <w:t>/</w:t>
      </w:r>
      <w:r>
        <w:rPr>
          <w:rFonts w:hint="eastAsia" w:ascii="宋体" w:hAnsi="宋体" w:eastAsia="宋体"/>
          <w:b w:val="0"/>
          <w:color w:val="222222"/>
          <w:sz w:val="21"/>
        </w:rPr>
        <w:t>(high - low) * volume)</w:t>
      </w:r>
    </w:p>
    <w:p w14:paraId="28F741FA">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//计算逻辑:(收盘-最低)-(最高-收盘)反映买卖力量对比</w:t>
      </w:r>
    </w:p>
    <w:p w14:paraId="6165DA8A">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//分母(最高-最低)标准化日内波动，乘以成交量加权</w:t>
      </w:r>
    </w:p>
    <w:p w14:paraId="59047B3D">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ad ma = ta.sma (ad,inst ma length)//5日均线过滤噪音，识别趋势</w:t>
      </w:r>
    </w:p>
    <w:p w14:paraId="2BA269D2">
      <w:pPr>
        <w:spacing w:before="0" w:after="40" w:line="259" w:lineRule="auto"/>
        <w:rPr>
          <w:rFonts w:hint="eastAsia" w:ascii="宋体" w:hAnsi="宋体" w:eastAsia="宋体"/>
          <w:b w:val="0"/>
          <w:color w:val="222222"/>
          <w:sz w:val="21"/>
        </w:rPr>
      </w:pPr>
    </w:p>
    <w:p w14:paraId="4CC1F162">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//资金流向判断:结合大成交量确认机构动作</w:t>
      </w:r>
    </w:p>
    <w:p w14:paraId="7CA40C16">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accumulation = ad &gt; ad ma and institutional volume//机构吸筹阶段</w:t>
      </w:r>
    </w:p>
    <w:p w14:paraId="28936700">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distribution = ad &lt; ad ma and institutional volume//机构派发阶段</w:t>
      </w:r>
    </w:p>
    <w:p w14:paraId="151B9889">
      <w:pPr>
        <w:spacing w:before="0" w:after="40" w:line="259" w:lineRule="auto"/>
        <w:rPr>
          <w:rFonts w:hint="eastAsia" w:ascii="宋体" w:hAnsi="宋体" w:eastAsia="宋体"/>
          <w:b w:val="0"/>
          <w:color w:val="222222"/>
          <w:sz w:val="21"/>
        </w:rPr>
      </w:pPr>
    </w:p>
    <w:p w14:paraId="07F0B315">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//聪明钱指数:当日资金效果评估smart money = (close - open) / (high - low) * volume</w:t>
      </w:r>
    </w:p>
    <w:p w14:paraId="6FAEBC15">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//(收盘-开盘)衡量当日净效果，除以振幅标准化，乘以成交量加权</w:t>
      </w:r>
    </w:p>
    <w:p w14:paraId="6DA3FBDA">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smart_money_ma = ta.sma (smart_money,5)//5日快速均线，及时捕捉变化</w:t>
      </w:r>
    </w:p>
    <w:p w14:paraId="5514BEC1">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smart_money_positive = smart_money &gt; smart_money_ma//聪明钱方向判断</w:t>
      </w:r>
    </w:p>
    <w:p w14:paraId="478ADC63">
      <w:pPr>
        <w:spacing w:before="0" w:after="40" w:line="259" w:lineRule="auto"/>
        <w:rPr>
          <w:rFonts w:hint="eastAsia" w:ascii="宋体" w:hAnsi="宋体" w:eastAsia="宋体"/>
          <w:b w:val="0"/>
          <w:color w:val="222222"/>
          <w:sz w:val="21"/>
        </w:rPr>
      </w:pPr>
    </w:p>
    <w:p w14:paraId="1506280E">
      <w:pPr>
        <w:spacing w:before="0" w:after="40" w:line="259" w:lineRule="auto"/>
      </w:pPr>
      <w:r>
        <w:rPr>
          <w:rFonts w:ascii="宋体" w:hAnsi="宋体" w:eastAsia="宋体"/>
          <w:b w:val="0"/>
          <w:color w:val="222222"/>
          <w:sz w:val="21"/>
        </w:rPr>
        <w:t>策略通过三个层次来分析机构行为：</w:t>
      </w:r>
      <w:r>
        <w:rPr>
          <w:rFonts w:ascii="宋体" w:hAnsi="宋体" w:eastAsia="宋体"/>
          <w:b/>
          <w:color w:val="222222"/>
          <w:sz w:val="21"/>
        </w:rPr>
        <w:t>成交量规模、资金流向、操作意图</w:t>
      </w:r>
      <w:r>
        <w:rPr>
          <w:rFonts w:ascii="宋体" w:hAnsi="宋体" w:eastAsia="宋体"/>
          <w:b w:val="0"/>
          <w:color w:val="222222"/>
          <w:sz w:val="21"/>
        </w:rPr>
        <w:t>。</w:t>
      </w:r>
    </w:p>
    <w:p w14:paraId="1773F3BD">
      <w:pPr>
        <w:pStyle w:val="16"/>
        <w:spacing w:before="0" w:after="20" w:line="259" w:lineRule="auto"/>
      </w:pPr>
      <w:r>
        <w:rPr>
          <w:rFonts w:ascii="宋体" w:hAnsi="宋体" w:eastAsia="宋体"/>
          <w:b w:val="0"/>
          <w:color w:val="222222"/>
          <w:sz w:val="21"/>
        </w:rPr>
        <w:t>大规模成交量能够识别机构级别的交易行为；</w:t>
      </w:r>
    </w:p>
    <w:p w14:paraId="43EB82AE">
      <w:pPr>
        <w:pStyle w:val="16"/>
        <w:spacing w:before="0" w:after="20" w:line="259" w:lineRule="auto"/>
      </w:pPr>
      <w:r>
        <w:rPr>
          <w:rFonts w:ascii="宋体" w:hAnsi="宋体" w:eastAsia="宋体"/>
          <w:b w:val="0"/>
          <w:color w:val="222222"/>
          <w:sz w:val="21"/>
        </w:rPr>
        <w:t>累计分配指标是威廉姆斯 AD 线的改进版本，通过价格重心分析资金真实意图，再结合大成交量确认机构动作；</w:t>
      </w:r>
    </w:p>
    <w:p w14:paraId="4D70A5B4">
      <w:pPr>
        <w:pStyle w:val="16"/>
        <w:spacing w:before="0" w:after="20" w:line="259" w:lineRule="auto"/>
      </w:pPr>
      <w:r>
        <w:rPr>
          <w:rFonts w:ascii="宋体" w:hAnsi="宋体" w:eastAsia="宋体"/>
          <w:b w:val="0"/>
          <w:color w:val="222222"/>
          <w:sz w:val="21"/>
        </w:rPr>
        <w:t>聪明钱指数进一步细化了这个概念，通过公式来衡量当日资金的净效果，用来进行聪明钱方向判断。</w:t>
      </w:r>
    </w:p>
    <w:p w14:paraId="1ACC0372">
      <w:pPr>
        <w:spacing w:before="100" w:after="40" w:line="259" w:lineRule="auto"/>
      </w:pPr>
      <w:r>
        <w:rPr>
          <w:rFonts w:ascii="微软雅黑" w:hAnsi="微软雅黑" w:eastAsia="微软雅黑"/>
          <w:b/>
          <w:color w:val="2E4A6B"/>
          <w:sz w:val="23"/>
        </w:rPr>
        <w:t>4.4 纳什均衡定价——将抽象概念转化为指标</w:t>
      </w:r>
    </w:p>
    <w:p w14:paraId="0B85714D">
      <w:pPr>
        <w:spacing w:before="0" w:after="40" w:line="259" w:lineRule="auto"/>
        <w:rPr>
          <w:rFonts w:ascii="宋体" w:hAnsi="宋体" w:eastAsia="宋体"/>
          <w:b w:val="0"/>
          <w:color w:val="222222"/>
          <w:sz w:val="21"/>
        </w:rPr>
      </w:pPr>
      <w:r>
        <w:rPr>
          <w:rFonts w:ascii="宋体" w:hAnsi="宋体" w:eastAsia="宋体"/>
          <w:b w:val="0"/>
          <w:color w:val="222222"/>
          <w:sz w:val="21"/>
        </w:rPr>
        <w:t>纳什均衡是博弈论的核心概念，在交易中代表了所有参与者基于现有信息达成的理论平衡。本策略通过统计学方法，将这一抽象概念转化为可操作的技术指标。</w:t>
      </w:r>
    </w:p>
    <w:p w14:paraId="31A31104">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//纳什均衡:博弈论理论价值的技术实现</w:t>
      </w:r>
    </w:p>
    <w:p w14:paraId="584264F2">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price mean = ta.sma(close,nash_period)//4日价格均值，市场集体预期锚点</w:t>
      </w:r>
    </w:p>
    <w:p w14:paraId="62BB9513">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price std= ta.stdev (close,nash period)//4日标准差，衡量博弈不确定性</w:t>
      </w:r>
    </w:p>
    <w:p w14:paraId="0331C220">
      <w:pPr>
        <w:spacing w:before="0" w:after="40" w:line="259" w:lineRule="auto"/>
        <w:rPr>
          <w:rFonts w:hint="eastAsia" w:ascii="宋体" w:hAnsi="宋体" w:eastAsia="宋体"/>
          <w:b w:val="0"/>
          <w:color w:val="222222"/>
          <w:sz w:val="21"/>
        </w:rPr>
      </w:pPr>
    </w:p>
    <w:p w14:paraId="12E64B72">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//均衡边界:基于2%偏差率的博弈平衡区间</w:t>
      </w:r>
    </w:p>
    <w:p w14:paraId="14FA5191">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upper nash = price mean + price std * nash deviation//上边界，牛方优势临界点</w:t>
      </w:r>
    </w:p>
    <w:p w14:paraId="399C97DF">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lower nash = price mean -price std*nash deviation//下边界，熊方优势临界点</w:t>
      </w:r>
    </w:p>
    <w:p w14:paraId="7F9E4DE6">
      <w:pPr>
        <w:spacing w:before="0" w:after="40" w:line="259" w:lineRule="auto"/>
        <w:rPr>
          <w:rFonts w:hint="eastAsia" w:ascii="宋体" w:hAnsi="宋体" w:eastAsia="宋体"/>
          <w:b w:val="0"/>
          <w:color w:val="222222"/>
          <w:sz w:val="21"/>
        </w:rPr>
      </w:pPr>
    </w:p>
    <w:p w14:paraId="78A1687C">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//博弈状态分类:价格相对均衡位置的三种状态</w:t>
      </w:r>
    </w:p>
    <w:p w14:paraId="0D1F6758">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near nash equilibrium = close &gt; lower nash and close &lt; upper nash//均衡状态, 方力量平衡</w:t>
      </w:r>
    </w:p>
    <w:p w14:paraId="1FC93B6B">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above</w:t>
      </w:r>
      <w:r>
        <w:rPr>
          <w:rFonts w:hint="eastAsia"/>
          <w:b w:val="0"/>
          <w:color w:val="222222"/>
          <w:sz w:val="21"/>
          <w:lang w:val="en-US" w:eastAsia="zh-CN"/>
        </w:rPr>
        <w:t xml:space="preserve"> </w:t>
      </w:r>
      <w:r>
        <w:rPr>
          <w:rFonts w:hint="eastAsia" w:ascii="宋体" w:hAnsi="宋体" w:eastAsia="宋体"/>
          <w:b w:val="0"/>
          <w:color w:val="222222"/>
          <w:sz w:val="21"/>
        </w:rPr>
        <w:t>nash=close&gt;upper nash//牛方优势，价格高估状态</w:t>
      </w:r>
    </w:p>
    <w:p w14:paraId="260B8B45">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below nash =close&lt;lower nash//熊方优势，价格低估状态</w:t>
      </w:r>
    </w:p>
    <w:p w14:paraId="086ADCC3">
      <w:pPr>
        <w:spacing w:before="0" w:after="40" w:line="259" w:lineRule="auto"/>
        <w:rPr>
          <w:rFonts w:hint="eastAsia" w:ascii="宋体" w:hAnsi="宋体" w:eastAsia="宋体"/>
          <w:b w:val="0"/>
          <w:color w:val="222222"/>
          <w:sz w:val="21"/>
        </w:rPr>
      </w:pPr>
    </w:p>
    <w:p w14:paraId="4D194ADC">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//理论基础:4日周期适应加密市场高频博弈特征</w:t>
      </w:r>
    </w:p>
    <w:p w14:paraId="291D6CC6">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//2%偏差率平衡敏感性与稳定性，基于历史优化得出</w:t>
      </w:r>
    </w:p>
    <w:p w14:paraId="16F0C82B">
      <w:pPr>
        <w:spacing w:before="0" w:after="40" w:line="259" w:lineRule="auto"/>
        <w:rPr>
          <w:rFonts w:ascii="宋体" w:hAnsi="宋体" w:eastAsia="宋体"/>
          <w:b w:val="0"/>
          <w:color w:val="222222"/>
          <w:sz w:val="21"/>
        </w:rPr>
      </w:pPr>
      <w:r>
        <w:rPr>
          <w:rFonts w:hint="eastAsia" w:ascii="宋体" w:hAnsi="宋体" w:eastAsia="宋体"/>
          <w:b w:val="0"/>
          <w:color w:val="222222"/>
          <w:sz w:val="21"/>
        </w:rPr>
        <w:t>//均衡理论:理性参与者会推动价格向理论价值收敛</w:t>
      </w:r>
    </w:p>
    <w:p w14:paraId="5D4882DF">
      <w:pPr>
        <w:spacing w:before="0" w:after="40" w:line="259" w:lineRule="auto"/>
      </w:pPr>
      <w:r>
        <w:rPr>
          <w:rFonts w:ascii="宋体" w:hAnsi="宋体" w:eastAsia="宋体"/>
          <w:b w:val="0"/>
          <w:color w:val="222222"/>
          <w:sz w:val="21"/>
        </w:rPr>
        <w:t>均衡计算基于两个核心假设：市场是理性的；长期趋势和价格围绕理论价值的随机游走。短期移动平均代表了所有参与者的集体预期，这是一个动态更新的博弈锚点。标准差的引入，考虑了市场的自然波动特性；偏差率参数是基于历史回测优化的结果，既保证了对偏离的敏感性，又避免了过度频繁的信号。</w:t>
      </w:r>
    </w:p>
    <w:p w14:paraId="22DE8660">
      <w:pPr>
        <w:spacing w:before="0" w:after="40" w:line="259" w:lineRule="auto"/>
      </w:pPr>
      <w:r>
        <w:rPr>
          <w:rFonts w:ascii="宋体" w:hAnsi="宋体" w:eastAsia="宋体"/>
          <w:b w:val="0"/>
          <w:color w:val="222222"/>
          <w:sz w:val="21"/>
        </w:rPr>
        <w:t>当价格位于均衡区间内时，说明市场处于相对平衡状态，各方博弈力量相当；当价格突破均衡边界时，意味着某一方在博弈中获得了暂时优势，但市场的自我修正机制会推动价格回归均衡。这种设计让策略能够同时捕捉趋势性机会和均值回归机会。</w:t>
      </w:r>
    </w:p>
    <w:p w14:paraId="1F1DC728">
      <w:pPr>
        <w:spacing w:before="100" w:after="40" w:line="259" w:lineRule="auto"/>
        <w:rPr>
          <w:rFonts w:hint="eastAsia" w:ascii="微软雅黑" w:hAnsi="微软雅黑" w:eastAsia="微软雅黑"/>
          <w:b/>
          <w:color w:val="2E4A6B"/>
          <w:sz w:val="23"/>
        </w:rPr>
      </w:pPr>
      <w:r>
        <w:rPr>
          <w:rFonts w:ascii="微软雅黑" w:hAnsi="微软雅黑" w:eastAsia="微软雅黑"/>
          <w:b/>
          <w:color w:val="2E4A6B"/>
          <w:sz w:val="26"/>
        </w:rPr>
        <w:t>五、</w:t>
      </w:r>
      <w:r>
        <w:rPr>
          <w:rFonts w:hint="eastAsia" w:ascii="微软雅黑" w:hAnsi="微软雅黑" w:eastAsia="微软雅黑"/>
          <w:b/>
          <w:color w:val="2E4A6B"/>
          <w:sz w:val="26"/>
        </w:rPr>
        <w:t>博弈论信号</w:t>
      </w:r>
    </w:p>
    <w:p w14:paraId="15A817B7">
      <w:pPr>
        <w:spacing w:before="0" w:after="40" w:line="259" w:lineRule="auto"/>
        <w:rPr>
          <w:rFonts w:ascii="宋体" w:hAnsi="宋体" w:eastAsia="宋体"/>
          <w:b w:val="0"/>
          <w:color w:val="222222"/>
          <w:sz w:val="21"/>
        </w:rPr>
      </w:pPr>
      <w:r>
        <w:rPr>
          <w:rFonts w:ascii="宋体" w:hAnsi="宋体" w:eastAsia="宋体"/>
          <w:b w:val="0"/>
          <w:color w:val="222222"/>
          <w:sz w:val="21"/>
        </w:rPr>
        <w:t>信号生成逻辑完美体现了博弈论中不同策略选择的智慧。</w:t>
      </w:r>
    </w:p>
    <w:p w14:paraId="11D11650">
      <w:pPr>
        <w:spacing w:before="0" w:after="40" w:line="259" w:lineRule="auto"/>
        <w:rPr>
          <w:rFonts w:ascii="宋体" w:hAnsi="宋体" w:eastAsia="宋体"/>
          <w:b w:val="0"/>
          <w:color w:val="222222"/>
          <w:sz w:val="21"/>
        </w:rPr>
      </w:pPr>
    </w:p>
    <w:p w14:paraId="1502C606">
      <w:pPr>
        <w:spacing w:before="100" w:after="40" w:line="259" w:lineRule="auto"/>
        <w:rPr>
          <w:rFonts w:ascii="微软雅黑" w:hAnsi="微软雅黑" w:eastAsia="微软雅黑"/>
          <w:b/>
          <w:color w:val="2E4A6B"/>
          <w:sz w:val="23"/>
        </w:rPr>
      </w:pPr>
      <w:r>
        <w:rPr>
          <w:rFonts w:ascii="微软雅黑" w:hAnsi="微软雅黑" w:eastAsia="微软雅黑"/>
          <w:b/>
          <w:color w:val="2E4A6B"/>
          <w:sz w:val="23"/>
        </w:rPr>
        <w:t>5.1 逆势信号——反向博弈核心</w:t>
      </w:r>
    </w:p>
    <w:p w14:paraId="57FAE19C">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contrarian buy =herd selling and(accumulation or liquidity_trap_down)//逆势买入信号</w:t>
      </w:r>
    </w:p>
    <w:p w14:paraId="33E930C6">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contrarian sell = herd buying and(distribution or liquidity trap up)//逆势卖出信号</w:t>
      </w:r>
    </w:p>
    <w:p w14:paraId="3300F061">
      <w:pPr>
        <w:spacing w:before="0" w:after="40" w:line="259" w:lineRule="auto"/>
        <w:rPr>
          <w:rFonts w:hint="eastAsia" w:ascii="宋体" w:hAnsi="宋体" w:eastAsia="宋体"/>
          <w:b w:val="0"/>
          <w:color w:val="222222"/>
          <w:sz w:val="21"/>
        </w:rPr>
      </w:pPr>
    </w:p>
    <w:p w14:paraId="1540ACD2">
      <w:pPr>
        <w:spacing w:before="0" w:after="40" w:line="259" w:lineRule="auto"/>
        <w:rPr>
          <w:rFonts w:ascii="宋体" w:hAnsi="宋体" w:eastAsia="宋体"/>
          <w:b w:val="0"/>
          <w:color w:val="222222"/>
          <w:sz w:val="21"/>
        </w:rPr>
      </w:pPr>
      <w:r>
        <w:rPr>
          <w:rFonts w:ascii="宋体" w:hAnsi="宋体" w:eastAsia="宋体"/>
          <w:b w:val="0"/>
          <w:color w:val="222222"/>
          <w:sz w:val="21"/>
        </w:rPr>
        <w:t>当检测到</w:t>
      </w:r>
      <w:r>
        <w:rPr>
          <w:rFonts w:ascii="宋体" w:hAnsi="宋体" w:eastAsia="宋体"/>
          <w:b w:val="0"/>
          <w:color w:val="222222"/>
          <w:sz w:val="21"/>
          <w:u w:val="single"/>
        </w:rPr>
        <w:t>羊群</w:t>
      </w:r>
      <w:r>
        <w:rPr>
          <w:rFonts w:ascii="宋体" w:hAnsi="宋体" w:eastAsia="宋体"/>
          <w:b w:val="0"/>
          <w:color w:val="222222"/>
          <w:sz w:val="21"/>
        </w:rPr>
        <w:t>恐慌性卖出，同时发现</w:t>
      </w:r>
      <w:r>
        <w:rPr>
          <w:rFonts w:ascii="宋体" w:hAnsi="宋体" w:eastAsia="宋体"/>
          <w:b w:val="0"/>
          <w:color w:val="222222"/>
          <w:sz w:val="21"/>
          <w:u w:val="single"/>
        </w:rPr>
        <w:t>机构</w:t>
      </w:r>
      <w:r>
        <w:rPr>
          <w:rFonts w:ascii="宋体" w:hAnsi="宋体" w:eastAsia="宋体"/>
          <w:b w:val="0"/>
          <w:color w:val="222222"/>
          <w:sz w:val="21"/>
        </w:rPr>
        <w:t>在积累或下方出现流动性陷阱时，构成经典的博弈机会：大众恐慌抛售，专业资金低位吸筹，这种信息不对称正是获利源泉。反之，当羊群追涨买入，而机构派发或上方流动性陷阱出现时，逆势做空能在情绪反转中获得超额收益。</w:t>
      </w:r>
    </w:p>
    <w:p w14:paraId="74F838CF">
      <w:pPr>
        <w:spacing w:before="0" w:after="40" w:line="259" w:lineRule="auto"/>
        <w:rPr>
          <w:rFonts w:ascii="宋体" w:hAnsi="宋体" w:eastAsia="宋体"/>
          <w:b w:val="0"/>
          <w:color w:val="222222"/>
          <w:sz w:val="21"/>
        </w:rPr>
      </w:pPr>
    </w:p>
    <w:p w14:paraId="10B673D9">
      <w:pPr>
        <w:spacing w:before="100" w:after="40" w:line="259" w:lineRule="auto"/>
      </w:pPr>
      <w:r>
        <w:rPr>
          <w:rFonts w:ascii="微软雅黑" w:hAnsi="微软雅黑" w:eastAsia="微软雅黑"/>
          <w:b/>
          <w:color w:val="2E4A6B"/>
          <w:sz w:val="23"/>
        </w:rPr>
        <w:t>5.2 动量信号——跟随强者的博弈智慧</w:t>
      </w:r>
    </w:p>
    <w:p w14:paraId="367C3FEC">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momentum buy = below nash and smart money positive and not herd buying//</w:t>
      </w:r>
      <w:r>
        <w:rPr>
          <w:rFonts w:hint="eastAsia"/>
          <w:b w:val="0"/>
          <w:color w:val="222222"/>
          <w:sz w:val="21"/>
          <w:lang w:val="en-US" w:eastAsia="zh-CN"/>
        </w:rPr>
        <w:t>动</w:t>
      </w:r>
      <w:r>
        <w:rPr>
          <w:rFonts w:hint="eastAsia" w:ascii="宋体" w:hAnsi="宋体" w:eastAsia="宋体"/>
          <w:b w:val="0"/>
          <w:color w:val="222222"/>
          <w:sz w:val="21"/>
        </w:rPr>
        <w:t>量买入信号</w:t>
      </w:r>
    </w:p>
    <w:p w14:paraId="60DDC1D3">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momentum sell - above nash and not smart money positive and not herd selling//</w:t>
      </w:r>
      <w:r>
        <w:rPr>
          <w:rFonts w:hint="eastAsia"/>
          <w:b w:val="0"/>
          <w:color w:val="222222"/>
          <w:sz w:val="21"/>
          <w:lang w:val="en-US" w:eastAsia="zh-CN"/>
        </w:rPr>
        <w:t>动</w:t>
      </w:r>
      <w:r>
        <w:rPr>
          <w:rFonts w:hint="eastAsia" w:ascii="宋体" w:hAnsi="宋体" w:eastAsia="宋体"/>
          <w:b w:val="0"/>
          <w:color w:val="222222"/>
          <w:sz w:val="21"/>
        </w:rPr>
        <w:t>量卖</w:t>
      </w:r>
      <w:r>
        <w:rPr>
          <w:rFonts w:hint="eastAsia"/>
          <w:b w:val="0"/>
          <w:color w:val="222222"/>
          <w:sz w:val="21"/>
          <w:lang w:val="en-US" w:eastAsia="zh-CN"/>
        </w:rPr>
        <w:t>出</w:t>
      </w:r>
      <w:r>
        <w:rPr>
          <w:rFonts w:hint="eastAsia" w:ascii="宋体" w:hAnsi="宋体" w:eastAsia="宋体"/>
          <w:b w:val="0"/>
          <w:color w:val="222222"/>
          <w:sz w:val="21"/>
        </w:rPr>
        <w:t>信号</w:t>
      </w:r>
    </w:p>
    <w:p w14:paraId="6107F3FF">
      <w:pPr>
        <w:spacing w:before="0" w:after="40" w:line="259" w:lineRule="auto"/>
        <w:rPr>
          <w:rFonts w:hint="eastAsia" w:ascii="宋体" w:hAnsi="宋体" w:eastAsia="宋体"/>
          <w:b w:val="0"/>
          <w:color w:val="222222"/>
          <w:sz w:val="21"/>
        </w:rPr>
      </w:pPr>
    </w:p>
    <w:p w14:paraId="5DF0E40C">
      <w:pPr>
        <w:spacing w:before="0" w:after="40" w:line="259" w:lineRule="auto"/>
        <w:rPr>
          <w:rFonts w:ascii="宋体" w:hAnsi="宋体" w:eastAsia="宋体"/>
          <w:b w:val="0"/>
          <w:color w:val="222222"/>
          <w:sz w:val="21"/>
        </w:rPr>
      </w:pPr>
      <w:r>
        <w:rPr>
          <w:rFonts w:ascii="宋体" w:hAnsi="宋体" w:eastAsia="宋体"/>
          <w:b w:val="0"/>
          <w:color w:val="222222"/>
          <w:sz w:val="21"/>
        </w:rPr>
        <w:t>当价格低于</w:t>
      </w:r>
      <w:r>
        <w:rPr>
          <w:rFonts w:ascii="宋体" w:hAnsi="宋体" w:eastAsia="宋体"/>
          <w:b w:val="0"/>
          <w:color w:val="222222"/>
          <w:sz w:val="21"/>
          <w:u w:val="single"/>
        </w:rPr>
        <w:t>纳什均衡</w:t>
      </w:r>
      <w:r>
        <w:rPr>
          <w:rFonts w:ascii="宋体" w:hAnsi="宋体" w:eastAsia="宋体"/>
          <w:b w:val="0"/>
          <w:color w:val="222222"/>
          <w:sz w:val="21"/>
        </w:rPr>
        <w:t>且</w:t>
      </w:r>
      <w:r>
        <w:rPr>
          <w:rFonts w:ascii="宋体" w:hAnsi="宋体" w:eastAsia="宋体"/>
          <w:b w:val="0"/>
          <w:color w:val="222222"/>
          <w:sz w:val="21"/>
          <w:u w:val="single"/>
        </w:rPr>
        <w:t>聪明钱</w:t>
      </w:r>
      <w:r>
        <w:rPr>
          <w:rFonts w:ascii="宋体" w:hAnsi="宋体" w:eastAsia="宋体"/>
          <w:b w:val="0"/>
          <w:color w:val="222222"/>
          <w:sz w:val="21"/>
        </w:rPr>
        <w:t>指标转正，同时无</w:t>
      </w:r>
      <w:r>
        <w:rPr>
          <w:rFonts w:ascii="宋体" w:hAnsi="宋体" w:eastAsia="宋体"/>
          <w:b w:val="0"/>
          <w:color w:val="222222"/>
          <w:sz w:val="21"/>
          <w:u w:val="single"/>
        </w:rPr>
        <w:t>羊群</w:t>
      </w:r>
      <w:r>
        <w:rPr>
          <w:rFonts w:ascii="宋体" w:hAnsi="宋体" w:eastAsia="宋体"/>
          <w:b w:val="0"/>
          <w:color w:val="222222"/>
          <w:sz w:val="21"/>
        </w:rPr>
        <w:t>买入时，说明</w:t>
      </w:r>
      <w:r>
        <w:rPr>
          <w:rFonts w:ascii="宋体" w:hAnsi="宋体" w:eastAsia="宋体"/>
          <w:b w:val="0"/>
          <w:color w:val="222222"/>
          <w:sz w:val="21"/>
          <w:u w:val="single"/>
        </w:rPr>
        <w:t>专业资金</w:t>
      </w:r>
      <w:r>
        <w:rPr>
          <w:rFonts w:ascii="宋体" w:hAnsi="宋体" w:eastAsia="宋体"/>
          <w:b w:val="0"/>
          <w:color w:val="222222"/>
          <w:sz w:val="21"/>
        </w:rPr>
        <w:t>正在布局而大众尚未察觉，跟随聪明钱方向能在信息传递之中获益。相应地，价格高于均衡且聪明钱转负时做空，抢占趋势确立前的先机。这反映了博弈论中的信息级联效应：拥有更好信息的参与者先行动，其他参与者随后跟随。</w:t>
      </w:r>
    </w:p>
    <w:p w14:paraId="734D8F3B">
      <w:pPr>
        <w:spacing w:before="0" w:after="40" w:line="259" w:lineRule="auto"/>
        <w:rPr>
          <w:rFonts w:ascii="宋体" w:hAnsi="宋体" w:eastAsia="宋体"/>
          <w:b w:val="0"/>
          <w:color w:val="222222"/>
          <w:sz w:val="21"/>
        </w:rPr>
      </w:pPr>
    </w:p>
    <w:p w14:paraId="2827E15C">
      <w:pPr>
        <w:spacing w:before="100" w:after="40" w:line="259" w:lineRule="auto"/>
        <w:rPr>
          <w:rFonts w:hint="default" w:ascii="微软雅黑" w:hAnsi="微软雅黑" w:eastAsia="微软雅黑"/>
          <w:b/>
          <w:color w:val="2E4A6B"/>
          <w:sz w:val="23"/>
          <w:lang w:val="en-US" w:eastAsia="zh-CN"/>
        </w:rPr>
      </w:pPr>
      <w:r>
        <w:rPr>
          <w:rFonts w:ascii="微软雅黑" w:hAnsi="微软雅黑" w:eastAsia="微软雅黑"/>
          <w:b/>
          <w:color w:val="2E4A6B"/>
          <w:sz w:val="23"/>
        </w:rPr>
        <w:t>5.3 纳什均衡回归信号</w:t>
      </w:r>
      <w:r>
        <w:rPr>
          <w:rFonts w:hint="eastAsia" w:ascii="微软雅黑" w:hAnsi="微软雅黑" w:eastAsia="微软雅黑"/>
          <w:b/>
          <w:color w:val="2E4A6B"/>
          <w:sz w:val="23"/>
          <w:lang w:eastAsia="zh-CN"/>
        </w:rPr>
        <w:t>（</w:t>
      </w:r>
      <w:r>
        <w:rPr>
          <w:rFonts w:hint="eastAsia" w:ascii="宋体" w:hAnsi="宋体" w:eastAsia="宋体" w:cs="宋体"/>
          <w:b/>
          <w:i w:val="0"/>
          <w:strike w:val="0"/>
          <w:color w:val="auto"/>
          <w:kern w:val="0"/>
          <w:sz w:val="24"/>
          <w:szCs w:val="12"/>
          <w:u w:val="none"/>
          <w:lang w:val="en-US" w:eastAsia="zh-CN" w:bidi="ar"/>
        </w:rPr>
        <w:t>个人思考 关联霍华德</w:t>
      </w:r>
      <w:r>
        <w:rPr>
          <w:rFonts w:ascii="宋体" w:hAnsi="宋体" w:eastAsia="宋体" w:cs="宋体"/>
          <w:b/>
          <w:i w:val="0"/>
          <w:strike w:val="0"/>
          <w:color w:val="auto"/>
          <w:kern w:val="0"/>
          <w:sz w:val="24"/>
          <w:szCs w:val="12"/>
          <w:u w:val="none"/>
          <w:lang w:val="en-US" w:eastAsia="zh-CN" w:bidi="ar"/>
        </w:rPr>
        <w:t>第二层思维</w:t>
      </w:r>
      <w:r>
        <w:rPr>
          <w:rFonts w:hint="eastAsia" w:cs="宋体"/>
          <w:b/>
          <w:i w:val="0"/>
          <w:strike w:val="0"/>
          <w:color w:val="auto"/>
          <w:kern w:val="0"/>
          <w:sz w:val="24"/>
          <w:szCs w:val="12"/>
          <w:u w:val="none"/>
          <w:lang w:val="en-US" w:eastAsia="zh-CN" w:bidi="ar"/>
        </w:rPr>
        <w:t>）</w:t>
      </w:r>
    </w:p>
    <w:p w14:paraId="30F94CEB">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nash reversion buy = below nash and close &gt; close[1] and volume &gt; volume ma//回归买入信号</w:t>
      </w:r>
    </w:p>
    <w:p w14:paraId="47EDA576">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nash reversion sell = above nash and close &lt; close[1] and volume &gt; volume ma//均衡回卖出信号</w:t>
      </w:r>
    </w:p>
    <w:p w14:paraId="7909BF0D">
      <w:pPr>
        <w:spacing w:before="0" w:after="40" w:line="259" w:lineRule="auto"/>
        <w:rPr>
          <w:rFonts w:hint="eastAsia" w:ascii="宋体" w:hAnsi="宋体" w:eastAsia="宋体"/>
          <w:b w:val="0"/>
          <w:color w:val="222222"/>
          <w:sz w:val="21"/>
        </w:rPr>
      </w:pPr>
    </w:p>
    <w:p w14:paraId="0F1E8D78">
      <w:pPr>
        <w:spacing w:before="0" w:after="40" w:line="259" w:lineRule="auto"/>
      </w:pPr>
      <w:r>
        <w:rPr>
          <w:rFonts w:ascii="宋体" w:hAnsi="宋体" w:eastAsia="宋体"/>
          <w:b w:val="0"/>
          <w:color w:val="222222"/>
          <w:sz w:val="21"/>
        </w:rPr>
        <w:t>基于博弈论核心假设：所有理性参与者都会推动价格</w:t>
      </w:r>
      <w:r>
        <w:rPr>
          <w:rFonts w:ascii="宋体" w:hAnsi="宋体" w:eastAsia="宋体"/>
          <w:b w:val="0"/>
          <w:color w:val="222222"/>
          <w:sz w:val="21"/>
          <w:u w:val="single"/>
        </w:rPr>
        <w:t>向均衡收敛</w:t>
      </w:r>
      <w:r>
        <w:rPr>
          <w:rFonts w:ascii="宋体" w:hAnsi="宋体" w:eastAsia="宋体"/>
          <w:b w:val="0"/>
          <w:color w:val="222222"/>
          <w:sz w:val="21"/>
        </w:rPr>
        <w:t>。当价格严重偏离均衡区间时，各方都有套利动机，集体行为自然形成价格回归动力——无论是下方偏离后的买入回归，还是上方偏离后的卖出修正。</w:t>
      </w:r>
    </w:p>
    <w:p w14:paraId="6F1883C0">
      <w:pPr>
        <w:spacing w:before="0" w:after="40" w:line="259" w:lineRule="auto"/>
        <w:rPr>
          <w:rFonts w:ascii="宋体" w:hAnsi="宋体" w:eastAsia="宋体"/>
          <w:b w:val="0"/>
          <w:color w:val="222222"/>
          <w:sz w:val="21"/>
        </w:rPr>
      </w:pPr>
    </w:p>
    <w:p w14:paraId="6D0B96E2">
      <w:pPr>
        <w:spacing w:before="0" w:after="40" w:line="259" w:lineRule="auto"/>
        <w:rPr>
          <w:rFonts w:hint="eastAsia" w:ascii="宋体" w:hAnsi="宋体" w:eastAsia="宋体"/>
          <w:b w:val="0"/>
          <w:color w:val="222222"/>
          <w:sz w:val="21"/>
        </w:rPr>
      </w:pPr>
      <w:r>
        <w:rPr>
          <w:rFonts w:ascii="微软雅黑" w:hAnsi="微软雅黑" w:eastAsia="微软雅黑"/>
          <w:b/>
          <w:color w:val="2E4A6B"/>
          <w:sz w:val="23"/>
        </w:rPr>
        <w:t>5.</w:t>
      </w:r>
      <w:r>
        <w:rPr>
          <w:rFonts w:hint="eastAsia" w:ascii="微软雅黑" w:hAnsi="微软雅黑" w:eastAsia="微软雅黑"/>
          <w:b/>
          <w:color w:val="2E4A6B"/>
          <w:sz w:val="23"/>
          <w:lang w:val="en-US" w:eastAsia="zh-CN"/>
        </w:rPr>
        <w:t>4综合买卖信号</w:t>
      </w:r>
    </w:p>
    <w:p w14:paraId="484639D8">
      <w:pPr>
        <w:spacing w:before="0" w:after="40" w:line="259" w:lineRule="auto"/>
        <w:rPr>
          <w:rFonts w:ascii="宋体" w:hAnsi="宋体" w:eastAsia="宋体"/>
          <w:b w:val="0"/>
          <w:color w:val="222222"/>
          <w:sz w:val="21"/>
        </w:rPr>
      </w:pPr>
      <w:r>
        <w:rPr>
          <w:rFonts w:ascii="宋体" w:hAnsi="宋体" w:eastAsia="宋体"/>
          <w:b w:val="0"/>
          <w:color w:val="222222"/>
          <w:sz w:val="21"/>
        </w:rPr>
        <w:t>最终，综合买入信号和综合卖出信号通过布尔逻辑</w:t>
      </w:r>
      <w:r>
        <w:rPr>
          <w:rFonts w:hint="eastAsia"/>
          <w:b w:val="0"/>
          <w:color w:val="222222"/>
          <w:sz w:val="21"/>
          <w:lang w:eastAsia="zh-CN"/>
        </w:rPr>
        <w:t>，</w:t>
      </w:r>
      <w:r>
        <w:rPr>
          <w:rFonts w:hint="eastAsia"/>
          <w:b w:val="0"/>
          <w:color w:val="222222"/>
          <w:sz w:val="21"/>
          <w:lang w:val="en-US" w:eastAsia="zh-CN"/>
        </w:rPr>
        <w:t>设置好规则，</w:t>
      </w:r>
      <w:r>
        <w:rPr>
          <w:rFonts w:ascii="宋体" w:hAnsi="宋体" w:eastAsia="宋体"/>
          <w:b w:val="0"/>
          <w:color w:val="222222"/>
          <w:sz w:val="21"/>
        </w:rPr>
        <w:t>整合三类信号，确保在不同博弈环境下都能找到交易机会。</w:t>
      </w:r>
    </w:p>
    <w:p w14:paraId="694A2169">
      <w:pPr>
        <w:spacing w:before="0" w:after="40" w:line="259" w:lineRule="auto"/>
      </w:pPr>
    </w:p>
    <w:p w14:paraId="3C2CF22C">
      <w:pPr>
        <w:spacing w:before="140" w:after="60" w:line="259" w:lineRule="auto"/>
      </w:pPr>
      <w:r>
        <w:rPr>
          <w:rFonts w:ascii="微软雅黑" w:hAnsi="微软雅黑" w:eastAsia="微软雅黑"/>
          <w:b/>
          <w:color w:val="2E4A6B"/>
          <w:sz w:val="26"/>
        </w:rPr>
        <w:t>六、动态仓位管理与风险控制</w:t>
      </w:r>
    </w:p>
    <w:p w14:paraId="6AB0C682">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//仓位管理(极小极大原则)</w:t>
      </w:r>
    </w:p>
    <w:p w14:paraId="4F0861D2">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position size = 1.0//默认仓位大小</w:t>
      </w:r>
    </w:p>
    <w:p w14:paraId="24ACB530">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if near nash equilibrium</w:t>
      </w:r>
    </w:p>
    <w:p w14:paraId="2F4FF628">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position size:= 0.5 //在纳什均衡附近降低仓位</w:t>
      </w:r>
    </w:p>
    <w:p w14:paraId="3B0E96EE">
      <w:pPr>
        <w:spacing w:before="0" w:after="40" w:line="259" w:lineRule="auto"/>
        <w:rPr>
          <w:rFonts w:hint="eastAsia" w:ascii="宋体" w:hAnsi="宋体" w:eastAsia="宋体"/>
          <w:b w:val="0"/>
          <w:color w:val="222222"/>
          <w:sz w:val="21"/>
        </w:rPr>
      </w:pPr>
      <w:r>
        <w:rPr>
          <w:rFonts w:hint="eastAsia" w:ascii="宋体" w:hAnsi="宋体" w:eastAsia="宋体"/>
          <w:b w:val="0"/>
          <w:color w:val="222222"/>
          <w:sz w:val="21"/>
        </w:rPr>
        <w:t>else if institutional volume</w:t>
      </w:r>
    </w:p>
    <w:p w14:paraId="345BBC56">
      <w:pPr>
        <w:spacing w:before="0" w:after="40" w:line="259" w:lineRule="auto"/>
        <w:rPr>
          <w:rFonts w:ascii="宋体" w:hAnsi="宋体" w:eastAsia="宋体"/>
          <w:b w:val="0"/>
          <w:color w:val="222222"/>
          <w:sz w:val="21"/>
        </w:rPr>
      </w:pPr>
      <w:r>
        <w:rPr>
          <w:rFonts w:hint="eastAsia" w:ascii="宋体" w:hAnsi="宋体" w:eastAsia="宋体"/>
          <w:b w:val="0"/>
          <w:color w:val="222222"/>
          <w:sz w:val="21"/>
        </w:rPr>
        <w:t>position size:=1.5//在机构成交量出现时增加仓位</w:t>
      </w:r>
    </w:p>
    <w:p w14:paraId="3085E995">
      <w:pPr>
        <w:spacing w:before="0" w:after="40" w:line="259" w:lineRule="auto"/>
      </w:pPr>
      <w:r>
        <w:rPr>
          <w:rFonts w:ascii="宋体" w:hAnsi="宋体" w:eastAsia="宋体"/>
          <w:b w:val="0"/>
          <w:color w:val="222222"/>
          <w:sz w:val="21"/>
        </w:rPr>
        <w:t>动态仓位管理体现</w:t>
      </w:r>
      <w:r>
        <w:rPr>
          <w:rFonts w:hint="eastAsia" w:ascii="宋体" w:hAnsi="宋体" w:eastAsia="宋体"/>
          <w:b w:val="0"/>
          <w:color w:val="222222"/>
          <w:sz w:val="21"/>
        </w:rPr>
        <w:t>博弈论</w:t>
      </w:r>
      <w:r>
        <w:rPr>
          <w:rFonts w:ascii="宋体" w:hAnsi="宋体" w:eastAsia="宋体"/>
          <w:b/>
          <w:color w:val="222222"/>
          <w:sz w:val="21"/>
        </w:rPr>
        <w:t>极小极大（Minimax）原则</w:t>
      </w:r>
      <w:r>
        <w:rPr>
          <w:rFonts w:ascii="宋体" w:hAnsi="宋体" w:eastAsia="宋体"/>
          <w:b w:val="0"/>
          <w:color w:val="222222"/>
          <w:sz w:val="21"/>
        </w:rPr>
        <w:t>：</w:t>
      </w:r>
    </w:p>
    <w:p w14:paraId="10C6B33A">
      <w:pPr>
        <w:pStyle w:val="16"/>
        <w:spacing w:before="0" w:after="20" w:line="259" w:lineRule="auto"/>
      </w:pPr>
      <w:r>
        <w:rPr>
          <w:rFonts w:ascii="宋体" w:hAnsi="宋体" w:eastAsia="宋体"/>
          <w:b w:val="0"/>
          <w:color w:val="222222"/>
          <w:sz w:val="21"/>
        </w:rPr>
        <w:t>在纳什均衡附近降低仓位（因各方策略趋于平衡，超额收益概率降低）；</w:t>
      </w:r>
    </w:p>
    <w:p w14:paraId="4FCC2F95">
      <w:pPr>
        <w:pStyle w:val="16"/>
        <w:spacing w:before="0" w:after="20" w:line="259" w:lineRule="auto"/>
      </w:pPr>
      <w:r>
        <w:rPr>
          <w:rFonts w:ascii="宋体" w:hAnsi="宋体" w:eastAsia="宋体"/>
          <w:b w:val="0"/>
          <w:color w:val="222222"/>
          <w:sz w:val="21"/>
        </w:rPr>
        <w:t>在机构成交量出现时增加仓位，利用信息优势——专业资金大举行动时，跟随其方向往往获得更好的风险收益。</w:t>
      </w:r>
    </w:p>
    <w:p w14:paraId="44325240">
      <w:pPr>
        <w:spacing w:before="0" w:after="40" w:line="259" w:lineRule="auto"/>
        <w:rPr>
          <w:rFonts w:ascii="宋体" w:hAnsi="宋体" w:eastAsia="宋体"/>
          <w:b w:val="0"/>
          <w:color w:val="222222"/>
          <w:sz w:val="21"/>
        </w:rPr>
      </w:pPr>
      <w:r>
        <w:rPr>
          <w:rFonts w:ascii="宋体" w:hAnsi="宋体" w:eastAsia="宋体"/>
          <w:b w:val="0"/>
          <w:color w:val="222222"/>
          <w:sz w:val="21"/>
        </w:rPr>
        <w:t>当不确定性较高时，采取保守操作；当信息优势明确时，采取积极进取的动态平衡策略。</w:t>
      </w:r>
    </w:p>
    <w:p w14:paraId="52862F01">
      <w:pPr>
        <w:spacing w:before="0" w:after="40" w:line="259" w:lineRule="auto"/>
        <w:rPr>
          <w:rFonts w:ascii="宋体" w:hAnsi="宋体" w:eastAsia="宋体"/>
          <w:b w:val="0"/>
          <w:color w:val="222222"/>
          <w:sz w:val="21"/>
        </w:rPr>
      </w:pPr>
    </w:p>
    <w:p w14:paraId="73694635">
      <w:pPr>
        <w:spacing w:before="140" w:after="60" w:line="259" w:lineRule="auto"/>
        <w:rPr>
          <w:sz w:val="21"/>
          <w:szCs w:val="22"/>
        </w:rPr>
      </w:pPr>
      <w:r>
        <w:rPr>
          <w:rFonts w:hint="eastAsia" w:ascii="微软雅黑" w:hAnsi="微软雅黑" w:eastAsia="微软雅黑"/>
          <w:b/>
          <w:color w:val="2E4A6B"/>
          <w:sz w:val="28"/>
          <w:szCs w:val="22"/>
          <w:lang w:val="en-US" w:eastAsia="zh-CN"/>
        </w:rPr>
        <w:t>七、</w:t>
      </w:r>
      <w:r>
        <w:rPr>
          <w:rFonts w:ascii="微软雅黑" w:hAnsi="微软雅黑" w:eastAsia="微软雅黑"/>
          <w:b/>
          <w:color w:val="2E4A6B"/>
          <w:sz w:val="28"/>
          <w:szCs w:val="22"/>
        </w:rPr>
        <w:t>可视化系统：让多方博弈一目了然</w:t>
      </w:r>
    </w:p>
    <w:p w14:paraId="05F478F7">
      <w:pPr>
        <w:spacing w:before="0" w:after="40" w:line="259" w:lineRule="auto"/>
      </w:pPr>
      <w:r>
        <w:rPr>
          <w:rFonts w:ascii="宋体" w:hAnsi="宋体" w:eastAsia="宋体"/>
          <w:b w:val="0"/>
          <w:color w:val="222222"/>
          <w:sz w:val="21"/>
        </w:rPr>
        <w:t>可视化系统精妙地展现了市场博弈的多层次结构。</w:t>
      </w:r>
    </w:p>
    <w:p w14:paraId="60480CA8">
      <w:pPr>
        <w:pStyle w:val="16"/>
        <w:spacing w:before="0" w:after="20" w:line="259" w:lineRule="auto"/>
      </w:pPr>
      <w:r>
        <w:rPr>
          <w:rFonts w:ascii="宋体" w:hAnsi="宋体" w:eastAsia="宋体"/>
          <w:b/>
          <w:color w:val="222222"/>
          <w:sz w:val="21"/>
        </w:rPr>
        <w:t>纳什均衡带</w:t>
      </w:r>
      <w:r>
        <w:rPr>
          <w:rFonts w:ascii="宋体" w:hAnsi="宋体" w:eastAsia="宋体"/>
          <w:b w:val="0"/>
          <w:color w:val="222222"/>
          <w:sz w:val="21"/>
        </w:rPr>
        <w:t>：让交易者能够直观看到市场的理论均衡区间，这是所有参与者博弈的核心锚点。</w:t>
      </w:r>
    </w:p>
    <w:p w14:paraId="58431FF9">
      <w:pPr>
        <w:pStyle w:val="16"/>
        <w:spacing w:before="0" w:after="20" w:line="259" w:lineRule="auto"/>
      </w:pPr>
      <w:r>
        <w:rPr>
          <w:rFonts w:ascii="宋体" w:hAnsi="宋体" w:eastAsia="宋体"/>
          <w:b/>
          <w:color w:val="222222"/>
          <w:sz w:val="21"/>
        </w:rPr>
        <w:t>背景色系统</w:t>
      </w:r>
      <w:r>
        <w:rPr>
          <w:rFonts w:ascii="宋体" w:hAnsi="宋体" w:eastAsia="宋体"/>
          <w:b w:val="0"/>
          <w:color w:val="222222"/>
          <w:sz w:val="21"/>
        </w:rPr>
        <w:t>：通过颜色编码不同的博弈状态——红色警示羊群买入的危险信号，绿色提示羊群卖出机会，蓝色标识机构资金活跃期，提醒关注聪明钱的动向信号。</w:t>
      </w:r>
    </w:p>
    <w:p w14:paraId="367D7078">
      <w:pPr>
        <w:pStyle w:val="16"/>
        <w:spacing w:before="0" w:after="20" w:line="259" w:lineRule="auto"/>
      </w:pPr>
      <w:r>
        <w:rPr>
          <w:rFonts w:ascii="宋体" w:hAnsi="宋体" w:eastAsia="宋体"/>
          <w:b/>
          <w:color w:val="222222"/>
          <w:sz w:val="21"/>
        </w:rPr>
        <w:t>标记系统</w:t>
      </w:r>
      <w:r>
        <w:rPr>
          <w:rFonts w:ascii="宋体" w:hAnsi="宋体" w:eastAsia="宋体"/>
          <w:b w:val="0"/>
          <w:color w:val="222222"/>
          <w:sz w:val="21"/>
        </w:rPr>
        <w:t>：清晰标识不同的博弈机会——三角形标记逆势博弈的关键时点，十字标记流动性博弈的陷阱位置。</w:t>
      </w:r>
    </w:p>
    <w:p w14:paraId="413CAB66">
      <w:pPr>
        <w:spacing w:before="0" w:after="40" w:line="259" w:lineRule="auto"/>
      </w:pPr>
      <w:r>
        <w:rPr>
          <w:rFonts w:ascii="宋体" w:hAnsi="宋体" w:eastAsia="宋体"/>
          <w:b w:val="0"/>
          <w:color w:val="222222"/>
          <w:sz w:val="21"/>
        </w:rPr>
        <w:t>这套可视化系统让复杂的多方博弈分析变得一目了然，帮助交易者快速识别当前的博弈状态和最优策略。</w:t>
      </w:r>
    </w:p>
    <w:p w14:paraId="26B54F6A">
      <w:pPr>
        <w:spacing w:before="140" w:after="60" w:line="259" w:lineRule="auto"/>
      </w:pPr>
      <w:r>
        <w:rPr>
          <w:rFonts w:ascii="微软雅黑" w:hAnsi="微软雅黑" w:eastAsia="微软雅黑"/>
          <w:b/>
          <w:color w:val="2E4A6B"/>
          <w:sz w:val="26"/>
        </w:rPr>
        <w:t>八、策略在不同市场环境下的表现</w:t>
      </w:r>
    </w:p>
    <w:p w14:paraId="37023FD1">
      <w:pPr>
        <w:spacing w:before="0" w:after="40" w:line="259" w:lineRule="auto"/>
        <w:rPr>
          <w:rFonts w:ascii="宋体" w:hAnsi="宋体" w:eastAsia="宋体"/>
          <w:b w:val="0"/>
          <w:color w:val="222222"/>
          <w:sz w:val="21"/>
        </w:rPr>
      </w:pPr>
      <w:r>
        <w:rPr>
          <w:rFonts w:ascii="宋体" w:hAnsi="宋体" w:eastAsia="宋体"/>
          <w:b w:val="0"/>
          <w:color w:val="222222"/>
          <w:sz w:val="21"/>
        </w:rPr>
        <w:t>策略的适应性体现了博弈论的适应性和鲁棒性。</w:t>
      </w:r>
    </w:p>
    <w:p w14:paraId="714C1476">
      <w:pPr>
        <w:spacing w:before="0" w:after="40" w:line="259" w:lineRule="auto"/>
        <w:rPr>
          <w:rFonts w:hint="default" w:ascii="宋体" w:hAnsi="宋体" w:eastAsia="宋体"/>
          <w:b w:val="0"/>
          <w:color w:val="222222"/>
          <w:sz w:val="21"/>
          <w:lang w:val="en-US" w:eastAsia="zh-CN"/>
        </w:rPr>
      </w:pPr>
      <w:r>
        <w:rPr>
          <w:rFonts w:hint="eastAsia"/>
          <w:b w:val="0"/>
          <w:color w:val="222222"/>
          <w:sz w:val="21"/>
          <w:lang w:val="en-US" w:eastAsia="zh-CN"/>
        </w:rPr>
        <w:t>最佳应用场景：</w:t>
      </w:r>
    </w:p>
    <w:p w14:paraId="514D5225">
      <w:pPr>
        <w:pStyle w:val="16"/>
        <w:numPr>
          <w:ilvl w:val="0"/>
          <w:numId w:val="7"/>
        </w:numPr>
        <w:spacing w:before="0" w:after="20" w:line="259" w:lineRule="auto"/>
        <w:ind w:left="425" w:leftChars="0" w:hanging="425" w:firstLineChars="0"/>
      </w:pPr>
      <w:r>
        <w:rPr>
          <w:rFonts w:ascii="宋体" w:hAnsi="宋体" w:eastAsia="宋体"/>
          <w:b/>
          <w:color w:val="222222"/>
          <w:sz w:val="21"/>
        </w:rPr>
        <w:t>高波动震荡市</w:t>
      </w:r>
      <w:r>
        <w:rPr>
          <w:rFonts w:ascii="宋体" w:hAnsi="宋体" w:eastAsia="宋体"/>
          <w:b w:val="0"/>
          <w:color w:val="222222"/>
          <w:sz w:val="21"/>
        </w:rPr>
        <w:t>：是策略的黄金应用场景——博弈行为频繁，各类信号触发机会丰富；羊群情绪在波动中放大，机构资金趁机反向操作，纳什均衡理论发挥最佳效果。</w:t>
      </w:r>
    </w:p>
    <w:p w14:paraId="44368FC0">
      <w:pPr>
        <w:pStyle w:val="16"/>
        <w:numPr>
          <w:ilvl w:val="0"/>
          <w:numId w:val="7"/>
        </w:numPr>
        <w:spacing w:before="0" w:after="20" w:line="259" w:lineRule="auto"/>
        <w:ind w:left="425" w:leftChars="0" w:hanging="425" w:firstLineChars="0"/>
      </w:pPr>
      <w:r>
        <w:rPr>
          <w:rFonts w:ascii="宋体" w:hAnsi="宋体" w:eastAsia="宋体"/>
          <w:b/>
          <w:color w:val="222222"/>
          <w:sz w:val="21"/>
        </w:rPr>
        <w:t>情绪极端时刻</w:t>
      </w:r>
      <w:r>
        <w:rPr>
          <w:rFonts w:ascii="宋体" w:hAnsi="宋体" w:eastAsia="宋体"/>
          <w:b w:val="0"/>
          <w:color w:val="222222"/>
          <w:sz w:val="21"/>
        </w:rPr>
        <w:t>：更是理想博弈环境，羊群行为表现明显，为反向博弈提供突出机会。</w:t>
      </w:r>
    </w:p>
    <w:p w14:paraId="23E60901">
      <w:pPr>
        <w:spacing w:before="0" w:after="40" w:line="259" w:lineRule="auto"/>
      </w:pPr>
      <w:r>
        <w:rPr>
          <w:rFonts w:hint="eastAsia"/>
          <w:b w:val="0"/>
          <w:color w:val="222222"/>
          <w:sz w:val="21"/>
          <w:lang w:eastAsia="zh-CN"/>
        </w:rPr>
        <w:t>使用注意事项：</w:t>
      </w:r>
      <w:r>
        <w:rPr>
          <w:rFonts w:ascii="宋体" w:hAnsi="宋体" w:eastAsia="宋体"/>
          <w:b w:val="0"/>
          <w:color w:val="222222"/>
          <w:sz w:val="21"/>
        </w:rPr>
        <w:t>但必须避免重大消息面冲击——基本面突变会打破博弈平衡，使传统行为模式失效；同时需关注市场流动性状况，流动性不足时博弈行为可能失真。</w:t>
      </w:r>
    </w:p>
    <w:p w14:paraId="149539C8">
      <w:pPr>
        <w:spacing w:before="0" w:after="40" w:line="259" w:lineRule="auto"/>
      </w:pPr>
      <w:r>
        <w:rPr>
          <w:rFonts w:ascii="宋体" w:hAnsi="宋体" w:eastAsia="宋体"/>
          <w:b w:val="0"/>
          <w:color w:val="222222"/>
          <w:sz w:val="21"/>
        </w:rPr>
        <w:t>进阶应用</w:t>
      </w:r>
      <w:r>
        <w:rPr>
          <w:rFonts w:hint="eastAsia"/>
          <w:b w:val="0"/>
          <w:color w:val="222222"/>
          <w:sz w:val="21"/>
          <w:lang w:eastAsia="zh-CN"/>
        </w:rPr>
        <w:t>：</w:t>
      </w:r>
      <w:r>
        <w:rPr>
          <w:rFonts w:ascii="宋体" w:hAnsi="宋体" w:eastAsia="宋体"/>
          <w:b w:val="0"/>
          <w:color w:val="222222"/>
          <w:sz w:val="21"/>
        </w:rPr>
        <w:t>需根据市场波动率和参与者结构变化，实时优化博弈阈值</w:t>
      </w:r>
      <w:r>
        <w:rPr>
          <w:rFonts w:hint="eastAsia"/>
          <w:b w:val="0"/>
          <w:color w:val="222222"/>
          <w:sz w:val="21"/>
          <w:lang w:eastAsia="zh-CN"/>
        </w:rPr>
        <w:t>（比如行情大涨的消息面广泛传播，大量散户</w:t>
      </w:r>
      <w:r>
        <w:rPr>
          <w:rFonts w:hint="eastAsia"/>
          <w:b w:val="0"/>
          <w:color w:val="222222"/>
          <w:sz w:val="21"/>
          <w:lang w:val="en-US" w:eastAsia="zh-CN"/>
        </w:rPr>
        <w:t>开户</w:t>
      </w:r>
      <w:r>
        <w:rPr>
          <w:rFonts w:hint="eastAsia"/>
          <w:b w:val="0"/>
          <w:color w:val="222222"/>
          <w:sz w:val="21"/>
          <w:lang w:eastAsia="zh-CN"/>
        </w:rPr>
        <w:t>入坑）</w:t>
      </w:r>
      <w:r>
        <w:rPr>
          <w:rFonts w:ascii="宋体" w:hAnsi="宋体" w:eastAsia="宋体"/>
          <w:b w:val="0"/>
          <w:color w:val="222222"/>
          <w:sz w:val="21"/>
        </w:rPr>
        <w:t>，通过量化各方博弈行为强度，动态调整仓位和风险暴露。</w:t>
      </w:r>
    </w:p>
    <w:p w14:paraId="6D5F4709">
      <w:pPr>
        <w:spacing w:before="140" w:after="60" w:line="259" w:lineRule="auto"/>
      </w:pPr>
      <w:r>
        <w:rPr>
          <w:rFonts w:ascii="微软雅黑" w:hAnsi="微软雅黑" w:eastAsia="微软雅黑"/>
          <w:b/>
          <w:color w:val="2E4A6B"/>
          <w:sz w:val="26"/>
        </w:rPr>
        <w:t>九、综合评价</w:t>
      </w:r>
    </w:p>
    <w:p w14:paraId="6CB6FE3E">
      <w:pPr>
        <w:spacing w:before="0" w:after="40" w:line="259" w:lineRule="auto"/>
      </w:pPr>
      <w:r>
        <w:rPr>
          <w:rFonts w:ascii="宋体" w:hAnsi="宋体" w:eastAsia="宋体"/>
          <w:b w:val="0"/>
          <w:color w:val="222222"/>
          <w:sz w:val="21"/>
        </w:rPr>
        <w:t>从博弈论和量化分析的专业角度，这个策略展现了将理论与实践结合的出色能力，但也存在一些固有局限。</w:t>
      </w:r>
    </w:p>
    <w:p w14:paraId="6B37330B">
      <w:pPr>
        <w:pStyle w:val="16"/>
        <w:spacing w:before="0" w:after="20" w:line="259" w:lineRule="auto"/>
      </w:pPr>
      <w:r>
        <w:rPr>
          <w:rFonts w:ascii="宋体" w:hAnsi="宋体" w:eastAsia="宋体"/>
          <w:b/>
          <w:color w:val="222222"/>
          <w:sz w:val="21"/>
        </w:rPr>
        <w:t>策略完整性（优秀）</w:t>
      </w:r>
      <w:r>
        <w:rPr>
          <w:rFonts w:ascii="宋体" w:hAnsi="宋体" w:eastAsia="宋体"/>
          <w:b w:val="0"/>
          <w:color w:val="222222"/>
          <w:sz w:val="21"/>
        </w:rPr>
        <w:t>：四个分析维度构建了完整的博弈分析框架，从羊群心理到机构行为，从流动性博弈到均衡理论，覆盖了市场博弈的主要方面。</w:t>
      </w:r>
    </w:p>
    <w:p w14:paraId="25FF17C4">
      <w:pPr>
        <w:pStyle w:val="16"/>
        <w:spacing w:before="0" w:after="20" w:line="259" w:lineRule="auto"/>
      </w:pPr>
      <w:r>
        <w:rPr>
          <w:rFonts w:ascii="宋体" w:hAnsi="宋体" w:eastAsia="宋体"/>
          <w:b/>
          <w:color w:val="222222"/>
          <w:sz w:val="21"/>
        </w:rPr>
        <w:t>信号生成逻辑（清晰）</w:t>
      </w:r>
      <w:r>
        <w:rPr>
          <w:rFonts w:ascii="宋体" w:hAnsi="宋体" w:eastAsia="宋体"/>
          <w:b w:val="0"/>
          <w:color w:val="222222"/>
          <w:sz w:val="21"/>
        </w:rPr>
        <w:t>：体现了深刻的博弈论理解。</w:t>
      </w:r>
    </w:p>
    <w:p w14:paraId="74472194">
      <w:pPr>
        <w:pStyle w:val="16"/>
        <w:spacing w:before="0" w:after="20" w:line="259" w:lineRule="auto"/>
      </w:pPr>
      <w:r>
        <w:rPr>
          <w:rFonts w:ascii="宋体" w:hAnsi="宋体" w:eastAsia="宋体"/>
          <w:b/>
          <w:color w:val="222222"/>
          <w:sz w:val="21"/>
        </w:rPr>
        <w:t>风险管理（存在明显不足）</w:t>
      </w:r>
      <w:r>
        <w:rPr>
          <w:rFonts w:ascii="宋体" w:hAnsi="宋体" w:eastAsia="宋体"/>
          <w:b w:val="0"/>
          <w:color w:val="222222"/>
          <w:sz w:val="21"/>
        </w:rPr>
        <w:t>：固定的止损止盈比例，缺乏对博弈环境变化的适应性，缺少针对不同博弈强度的动态风险调整机制。</w:t>
      </w:r>
    </w:p>
    <w:p w14:paraId="305335B5">
      <w:pPr>
        <w:pStyle w:val="16"/>
        <w:spacing w:before="0" w:after="20" w:line="259" w:lineRule="auto"/>
      </w:pPr>
      <w:r>
        <w:rPr>
          <w:rFonts w:ascii="宋体" w:hAnsi="宋体" w:eastAsia="宋体"/>
          <w:b/>
          <w:color w:val="222222"/>
          <w:sz w:val="21"/>
        </w:rPr>
        <w:t>适应性（重要优势）</w:t>
      </w:r>
      <w:r>
        <w:rPr>
          <w:rFonts w:ascii="宋体" w:hAnsi="宋体" w:eastAsia="宋体"/>
          <w:b w:val="0"/>
          <w:color w:val="222222"/>
          <w:sz w:val="21"/>
        </w:rPr>
        <w:t>：通过多类型信号设计，能够在不同市场博弈环境下都找到合适的策略；但纳什均衡的计算方法相对简单，在市场结构发生根本变化时可能需要重新校准。</w:t>
      </w:r>
    </w:p>
    <w:p w14:paraId="62C3A5B0">
      <w:pPr>
        <w:pStyle w:val="16"/>
        <w:spacing w:before="0" w:after="20" w:line="259" w:lineRule="auto"/>
      </w:pPr>
      <w:r>
        <w:rPr>
          <w:rFonts w:ascii="宋体" w:hAnsi="宋体" w:eastAsia="宋体"/>
          <w:b/>
          <w:color w:val="222222"/>
          <w:sz w:val="21"/>
        </w:rPr>
        <w:t>可理解性</w:t>
      </w:r>
      <w:r>
        <w:rPr>
          <w:rFonts w:ascii="宋体" w:hAnsi="宋体" w:eastAsia="宋体"/>
          <w:b w:val="0"/>
          <w:color w:val="222222"/>
          <w:sz w:val="21"/>
        </w:rPr>
        <w:t>：虽然博弈论概念增加了学习门槛，但策略逻辑结构清晰，可视化设计直观，帮助理解复杂的多方博弈关系。</w:t>
      </w:r>
    </w:p>
    <w:p w14:paraId="62C9C1F9">
      <w:pPr>
        <w:pStyle w:val="16"/>
        <w:spacing w:before="0" w:after="20" w:line="259" w:lineRule="auto"/>
      </w:pPr>
      <w:r>
        <w:rPr>
          <w:rFonts w:ascii="宋体" w:hAnsi="宋体" w:eastAsia="宋体"/>
          <w:b/>
          <w:color w:val="222222"/>
          <w:sz w:val="21"/>
        </w:rPr>
        <w:t>创新性（最大亮点）</w:t>
      </w:r>
      <w:r>
        <w:rPr>
          <w:rFonts w:ascii="宋体" w:hAnsi="宋体" w:eastAsia="宋体"/>
          <w:b w:val="0"/>
          <w:color w:val="222222"/>
          <w:sz w:val="21"/>
        </w:rPr>
        <w:t>：成功将抽象的博弈论理论转化为可操作的交易系统，特别是多方博弈分析框架和动态仓位管理的设计，在量化交易领域具有开创性意义。</w:t>
      </w:r>
    </w:p>
    <w:p w14:paraId="005C3B7B">
      <w:pPr>
        <w:pStyle w:val="16"/>
        <w:spacing w:before="0" w:after="20" w:line="259" w:lineRule="auto"/>
      </w:pPr>
      <w:r>
        <w:rPr>
          <w:rFonts w:ascii="宋体" w:hAnsi="宋体" w:eastAsia="宋体"/>
          <w:b/>
          <w:color w:val="222222"/>
          <w:sz w:val="21"/>
        </w:rPr>
        <w:t>实用性（表现良好）</w:t>
      </w:r>
      <w:r>
        <w:rPr>
          <w:rFonts w:ascii="宋体" w:hAnsi="宋体" w:eastAsia="宋体"/>
          <w:b w:val="0"/>
          <w:color w:val="222222"/>
          <w:sz w:val="21"/>
        </w:rPr>
        <w:t>：策略在中等波动的市场环境下效果显著。</w:t>
      </w:r>
    </w:p>
    <w:p w14:paraId="275C1D88">
      <w:pPr>
        <w:spacing w:before="0" w:after="40" w:line="259" w:lineRule="auto"/>
      </w:pPr>
      <w:r>
        <w:rPr>
          <w:rFonts w:ascii="宋体" w:hAnsi="宋体" w:eastAsia="宋体"/>
          <w:b w:val="0"/>
          <w:color w:val="222222"/>
          <w:sz w:val="21"/>
        </w:rPr>
        <w:t>总体而言，这是一个理论深度与实用性并重的创新策略，特别适合深度理解市场博弈的专业交易者使用。</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1181AE"/>
    <w:multiLevelType w:val="singleLevel"/>
    <w:tmpl w:val="F91181AE"/>
    <w:lvl w:ilvl="0" w:tentative="0">
      <w:start w:val="1"/>
      <w:numFmt w:val="decimal"/>
      <w:lvlText w:val="%1."/>
      <w:lvlJc w:val="left"/>
      <w:pPr>
        <w:ind w:left="425" w:hanging="425"/>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4F5348"/>
    <w:rsid w:val="0D8B27AF"/>
    <w:rsid w:val="2B7A2C09"/>
    <w:rsid w:val="2DD95014"/>
    <w:rsid w:val="3E311BD0"/>
    <w:rsid w:val="51420965"/>
    <w:rsid w:val="5923468C"/>
    <w:rsid w:val="5A2D0537"/>
    <w:rsid w:val="5F1A18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5583</Words>
  <Characters>7757</Characters>
  <Lines>0</Lines>
  <Paragraphs>0</Paragraphs>
  <TotalTime>180</TotalTime>
  <ScaleCrop>false</ScaleCrop>
  <LinksUpToDate>false</LinksUpToDate>
  <CharactersWithSpaces>8183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Mr.蔡</cp:lastModifiedBy>
  <dcterms:modified xsi:type="dcterms:W3CDTF">2026-08-07T04:38:29Z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eyJoZGlkIjoiMWNiNmVhMmM0ZjJmMDc3MjNlNDI4MmE5ODk3NzZjZTAiLCJ1c2VySWQiOiI2OTk5NDUxMTkifQ==</vt:lpwstr>
  </property>
  <property fmtid="{D5CDD505-2E9C-101B-9397-08002B2CF9AE}" pid="3" name="KSOProductBuildVer">
    <vt:lpwstr>2052-12.1.0.26895</vt:lpwstr>
  </property>
  <property fmtid="{D5CDD505-2E9C-101B-9397-08002B2CF9AE}" pid="4" name="ICV">
    <vt:lpwstr>46F5319DFBA148F9BF4A6BD40C005660_12</vt:lpwstr>
  </property>
</Properties>
</file>